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b/>
          <w:bCs/>
          <w:color w:val="000000"/>
          <w:sz w:val="28"/>
          <w:szCs w:val="28"/>
        </w:rPr>
      </w:pPr>
      <w:r>
        <w:rPr>
          <w:rFonts w:hint="eastAsia" w:ascii="宋体" w:hAnsi="宋体"/>
          <w:b/>
          <w:bCs/>
          <w:color w:val="000000"/>
          <w:sz w:val="28"/>
          <w:szCs w:val="28"/>
        </w:rPr>
        <w:t>个人敏感信息（含征信）授权书</w:t>
      </w:r>
    </w:p>
    <w:p>
      <w:pPr>
        <w:snapToGrid w:val="0"/>
        <w:spacing w:line="264" w:lineRule="auto"/>
        <w:ind w:firstLine="420" w:firstLineChars="200"/>
        <w:jc w:val="center"/>
        <w:rPr>
          <w:rFonts w:hint="default" w:hAnsi="宋体"/>
          <w:lang w:val="en-US" w:eastAsia="zh-CN"/>
        </w:rPr>
      </w:pPr>
      <w:bookmarkStart w:id="0" w:name="_GoBack"/>
      <w:r>
        <w:rPr>
          <w:rFonts w:hint="eastAsia" w:hAnsi="宋体"/>
          <w:lang w:val="en-US" w:eastAsia="zh-CN"/>
        </w:rPr>
        <w:t>（2024年5月版）</w:t>
      </w:r>
    </w:p>
    <w:bookmarkEnd w:id="0"/>
    <w:p>
      <w:pPr>
        <w:adjustRightInd w:val="0"/>
        <w:snapToGrid w:val="0"/>
        <w:rPr>
          <w:color w:val="000000"/>
          <w:szCs w:val="21"/>
        </w:rPr>
      </w:pPr>
      <w:r>
        <w:rPr>
          <w:color w:val="000000"/>
        </w:rPr>
        <w:t xml:space="preserve"> </w:t>
      </w:r>
    </w:p>
    <w:p>
      <w:pPr>
        <w:adjustRightInd w:val="0"/>
        <w:snapToGrid w:val="0"/>
        <w:rPr>
          <w:color w:val="000000"/>
        </w:rPr>
      </w:pPr>
      <w:r>
        <w:rPr>
          <w:rFonts w:hint="eastAsia" w:ascii="宋体" w:hAnsi="宋体"/>
          <w:color w:val="000000"/>
        </w:rPr>
        <w:t>青岛银行股份有限公司：</w:t>
      </w:r>
    </w:p>
    <w:p>
      <w:pPr>
        <w:snapToGrid w:val="0"/>
        <w:spacing w:line="264" w:lineRule="auto"/>
        <w:ind w:firstLine="420" w:firstLineChars="200"/>
        <w:rPr>
          <w:rFonts w:hAnsi="宋体"/>
        </w:rPr>
      </w:pPr>
      <w:r>
        <w:rPr>
          <w:rFonts w:hint="eastAsia" w:ascii="宋体" w:hAnsi="宋体"/>
        </w:rPr>
        <w:t>本人（</w:t>
      </w:r>
      <w:r>
        <w:rPr>
          <w:rFonts w:hint="eastAsia" w:hAnsi="宋体"/>
        </w:rPr>
        <w:t>“授权人”）在此授权贵行（“被授权人”）根据《中华人民共和国商业银行法》、《中华人民共和国个人信息保护法》等法律法规及本授权书查询和提供授权人的信息。本人知悉（同意）：可向贵行申请撤回本授权，但撤回授权后将无法继续获得贵行提供的产品和服务，另撤回操作不影响贵行在撤回前基于本人授权已进行的个人信息处理活动的效力。</w:t>
      </w:r>
      <w:r>
        <w:rPr>
          <w:rFonts w:hint="eastAsia"/>
          <w:b/>
        </w:rPr>
        <w:t>如有任何疑问，请向青岛银行股份有限公司（简称“青岛银行”）咨询（</w:t>
      </w:r>
      <w:r>
        <w:rPr>
          <w:b/>
        </w:rPr>
        <w:t>全国客服热线电话400-66-96588</w:t>
      </w:r>
      <w:r>
        <w:rPr>
          <w:rFonts w:hint="eastAsia"/>
          <w:b/>
        </w:rPr>
        <w:t>）。</w:t>
      </w:r>
    </w:p>
    <w:p>
      <w:pPr>
        <w:adjustRightInd w:val="0"/>
        <w:snapToGrid w:val="0"/>
        <w:ind w:firstLine="420" w:firstLineChars="200"/>
        <w:rPr>
          <w:rFonts w:hAnsi="宋体"/>
        </w:rPr>
      </w:pPr>
      <w:r>
        <w:rPr>
          <w:rFonts w:hint="eastAsia" w:ascii="宋体" w:hAnsi="宋体"/>
        </w:rPr>
        <w:t>一、授权事项</w:t>
      </w:r>
    </w:p>
    <w:p>
      <w:pPr>
        <w:adjustRightInd w:val="0"/>
        <w:snapToGrid w:val="0"/>
        <w:ind w:firstLine="420" w:firstLineChars="200"/>
        <w:rPr>
          <w:rFonts w:hAnsi="宋体"/>
        </w:rPr>
      </w:pPr>
      <w:r>
        <w:rPr>
          <w:rFonts w:hint="eastAsia" w:hAnsi="宋体"/>
        </w:rPr>
        <w:t>1.本授权书涵盖的授权人个人敏感信息的范围（以下统称“个人敏感信息”）</w:t>
      </w:r>
    </w:p>
    <w:p>
      <w:pPr>
        <w:adjustRightInd w:val="0"/>
        <w:snapToGrid w:val="0"/>
        <w:ind w:firstLine="420" w:firstLineChars="200"/>
        <w:rPr>
          <w:rFonts w:hAnsi="宋体"/>
        </w:rPr>
      </w:pPr>
      <w:r>
        <w:rPr>
          <w:rFonts w:hint="eastAsia" w:hAnsi="宋体"/>
        </w:rPr>
        <w:t>1.1个人基本信息与通讯信息：姓名、生日、性别、民族、国籍、税收居民身份、家庭关系、家庭地址、家庭电话、个人电话号码、电子邮箱、联系人信息等。</w:t>
      </w:r>
    </w:p>
    <w:p>
      <w:pPr>
        <w:adjustRightInd w:val="0"/>
        <w:snapToGrid w:val="0"/>
        <w:ind w:firstLine="420" w:firstLineChars="200"/>
        <w:rPr>
          <w:rFonts w:hAnsi="宋体"/>
        </w:rPr>
      </w:pPr>
      <w:r>
        <w:rPr>
          <w:rFonts w:hint="eastAsia" w:hAnsi="宋体"/>
        </w:rPr>
        <w:t>1.2个人身份信息：证件号、证件类型、证件有效期、公安身份核验信息等。</w:t>
      </w:r>
    </w:p>
    <w:p>
      <w:pPr>
        <w:adjustRightInd w:val="0"/>
        <w:snapToGrid w:val="0"/>
        <w:ind w:firstLine="420" w:firstLineChars="200"/>
        <w:rPr>
          <w:rFonts w:hAnsi="宋体"/>
        </w:rPr>
      </w:pPr>
      <w:r>
        <w:rPr>
          <w:rFonts w:hint="eastAsia" w:hAnsi="宋体"/>
        </w:rPr>
        <w:t>1.3个人生物识别信息：人脸图像、指纹信息、音视频双录信息（包含电核录音、视频连线、视频核验）等。</w:t>
      </w:r>
    </w:p>
    <w:p>
      <w:pPr>
        <w:adjustRightInd w:val="0"/>
        <w:snapToGrid w:val="0"/>
        <w:ind w:firstLine="420" w:firstLineChars="200"/>
        <w:rPr>
          <w:rFonts w:hAnsi="宋体"/>
        </w:rPr>
      </w:pPr>
      <w:r>
        <w:rPr>
          <w:rFonts w:hint="eastAsia" w:hAnsi="宋体"/>
        </w:rPr>
        <w:t>1.4网络身份标识信息：IP地址、MAC地址、精准位置信息、设备位置信息、常用设备信息等。</w:t>
      </w:r>
    </w:p>
    <w:p>
      <w:pPr>
        <w:adjustRightInd w:val="0"/>
        <w:snapToGrid w:val="0"/>
        <w:ind w:firstLine="420" w:firstLineChars="200"/>
        <w:rPr>
          <w:rFonts w:hAnsi="宋体"/>
        </w:rPr>
      </w:pPr>
      <w:r>
        <w:rPr>
          <w:rFonts w:hint="eastAsia" w:hAnsi="宋体"/>
        </w:rPr>
        <w:t>1.5个人教育工作信息：个人职业、任职部门、职位、职级、行业、单位名称、工作电话、单位地址、工龄、收入、学习形式、学历层次、院校名称、学历、学位等。</w:t>
      </w:r>
    </w:p>
    <w:p>
      <w:pPr>
        <w:adjustRightInd w:val="0"/>
        <w:snapToGrid w:val="0"/>
        <w:ind w:firstLine="420" w:firstLineChars="200"/>
        <w:rPr>
          <w:rFonts w:hAnsi="宋体"/>
        </w:rPr>
      </w:pPr>
      <w:r>
        <w:rPr>
          <w:rFonts w:hint="eastAsia" w:hAnsi="宋体"/>
        </w:rPr>
        <w:t>1.6个人财产与信用信息：收入状况、房产信息、车辆信息、征信信息、不良信息等</w:t>
      </w:r>
      <w:r>
        <w:rPr>
          <w:rFonts w:hAnsi="宋体"/>
        </w:rPr>
        <w:t>。</w:t>
      </w:r>
    </w:p>
    <w:p>
      <w:pPr>
        <w:adjustRightInd w:val="0"/>
        <w:snapToGrid w:val="0"/>
        <w:ind w:firstLine="420" w:firstLineChars="200"/>
        <w:rPr>
          <w:rFonts w:hAnsi="宋体"/>
        </w:rPr>
      </w:pPr>
      <w:r>
        <w:rPr>
          <w:rFonts w:hint="eastAsia" w:hAnsi="宋体"/>
        </w:rPr>
        <w:t>1.7个人账户信息：存款信息、银行账户、信用卡卡号、信用卡有效期、交易和消费记录、信贷信息、流水记录、税务信息、社保账户及住房公积金缴存信息等。</w:t>
      </w:r>
    </w:p>
    <w:p>
      <w:pPr>
        <w:adjustRightInd w:val="0"/>
        <w:snapToGrid w:val="0"/>
        <w:ind w:firstLine="420" w:firstLineChars="200"/>
        <w:rPr>
          <w:rFonts w:hAnsi="宋体"/>
        </w:rPr>
      </w:pPr>
      <w:r>
        <w:rPr>
          <w:rFonts w:hint="eastAsia" w:hAnsi="宋体"/>
        </w:rPr>
        <w:t>1.8其他信息：申卡识别及服务类信息、婚姻状况、工商登记信息、违法犯罪记录、其他</w:t>
      </w:r>
      <w:r>
        <w:t>反映</w:t>
      </w:r>
      <w:r>
        <w:rPr>
          <w:rFonts w:hint="eastAsia"/>
        </w:rPr>
        <w:t>授权人</w:t>
      </w:r>
      <w:r>
        <w:t>信用和风险状况的信息</w:t>
      </w:r>
      <w:r>
        <w:rPr>
          <w:rFonts w:hint="eastAsia" w:hAnsi="宋体"/>
        </w:rPr>
        <w:t>等。</w:t>
      </w:r>
    </w:p>
    <w:p>
      <w:pPr>
        <w:adjustRightInd w:val="0"/>
        <w:snapToGrid w:val="0"/>
        <w:ind w:firstLine="420" w:firstLineChars="200"/>
        <w:rPr>
          <w:rFonts w:hAnsi="宋体"/>
        </w:rPr>
      </w:pPr>
      <w:r>
        <w:rPr>
          <w:rFonts w:hint="eastAsia" w:hAnsi="宋体"/>
        </w:rPr>
        <w:t>2.</w:t>
      </w:r>
      <w:r>
        <w:rPr>
          <w:rFonts w:hint="eastAsia" w:ascii="宋体" w:hAnsi="宋体"/>
        </w:rPr>
        <w:t>授权人个人敏感（含征信）信息的查询、采集、核实、使用、存储、加工、传输等</w:t>
      </w:r>
    </w:p>
    <w:p>
      <w:pPr>
        <w:snapToGrid w:val="0"/>
        <w:spacing w:line="264" w:lineRule="auto"/>
        <w:ind w:firstLine="420" w:firstLineChars="200"/>
        <w:rPr>
          <w:rFonts w:ascii="宋体" w:hAnsi="宋体"/>
          <w:b/>
        </w:rPr>
      </w:pPr>
      <w:r>
        <w:rPr>
          <w:rFonts w:hint="eastAsia" w:ascii="宋体" w:hAnsi="宋体"/>
        </w:rPr>
        <w:t>授权人在向</w:t>
      </w:r>
      <w:r>
        <w:rPr>
          <w:rFonts w:hint="eastAsia"/>
          <w:b/>
        </w:rPr>
        <w:t>青岛银行</w:t>
      </w:r>
      <w:r>
        <w:rPr>
          <w:rFonts w:hint="eastAsia"/>
        </w:rPr>
        <w:t>申请信用卡业务期间</w:t>
      </w:r>
      <w:r>
        <w:rPr>
          <w:rFonts w:hint="eastAsia" w:ascii="宋体" w:hAnsi="宋体"/>
        </w:rPr>
        <w:t>，</w:t>
      </w:r>
      <w:r>
        <w:rPr>
          <w:rFonts w:hint="eastAsia"/>
        </w:rPr>
        <w:t>特授权青岛银行在本人</w:t>
      </w:r>
      <w:r>
        <w:rPr>
          <w:rFonts w:hint="eastAsia"/>
          <w:b/>
        </w:rPr>
        <w:t>信用卡申请阶段、业务存续期间及提出异议或咨询期间</w:t>
      </w:r>
      <w:r>
        <w:rPr>
          <w:rFonts w:hint="eastAsia"/>
        </w:rPr>
        <w:t>，</w:t>
      </w:r>
      <w:r>
        <w:rPr>
          <w:rFonts w:hint="eastAsia" w:ascii="宋体" w:hAnsi="宋体"/>
        </w:rPr>
        <w:t>被授权人可以</w:t>
      </w:r>
      <w:r>
        <w:rPr>
          <w:rFonts w:hint="eastAsia"/>
          <w:b/>
        </w:rPr>
        <w:t>向其他机关（包括金融信用信息基础数据库、百行征信有限公司、朴道征信有限公司、行政机关、事业单位、司法机关、社会保障管理机构、住房公积金管理机构、通信运营商、银行卡清算机构、学历学籍查询机构等）合法存有授权人信息的第三方以及青岛银行行内系统，</w:t>
      </w:r>
      <w:r>
        <w:rPr>
          <w:rFonts w:hint="eastAsia" w:ascii="宋体" w:hAnsi="宋体"/>
          <w:b/>
        </w:rPr>
        <w:t>查询、采集、使用授权人的</w:t>
      </w:r>
      <w:r>
        <w:rPr>
          <w:rFonts w:hint="eastAsia"/>
          <w:b/>
        </w:rPr>
        <w:t>个人敏感信息（包括但不限于个人财产、征信信息及信用报告等），并依据相关法律法规</w:t>
      </w:r>
      <w:r>
        <w:rPr>
          <w:rFonts w:hint="eastAsia" w:ascii="宋体" w:hAnsi="宋体"/>
          <w:b/>
        </w:rPr>
        <w:t>和监管要求加工、传输、存储上述授权人的全部个人敏感信息（包括但不限于</w:t>
      </w:r>
      <w:r>
        <w:rPr>
          <w:rFonts w:hint="eastAsia"/>
          <w:b/>
        </w:rPr>
        <w:t>个人财产、</w:t>
      </w:r>
      <w:r>
        <w:rPr>
          <w:rFonts w:hint="eastAsia" w:ascii="宋体" w:hAnsi="宋体"/>
          <w:b/>
        </w:rPr>
        <w:t>征信信息及信用报告等）。</w:t>
      </w:r>
    </w:p>
    <w:p>
      <w:pPr>
        <w:snapToGrid w:val="0"/>
        <w:spacing w:line="264" w:lineRule="auto"/>
        <w:ind w:firstLine="422" w:firstLineChars="200"/>
        <w:rPr>
          <w:rFonts w:ascii="宋体" w:hAnsi="宋体"/>
          <w:b/>
        </w:rPr>
      </w:pPr>
      <w:r>
        <w:rPr>
          <w:rFonts w:hint="eastAsia" w:ascii="宋体" w:hAnsi="宋体"/>
          <w:b/>
        </w:rPr>
        <w:t>3.授权人同意个人敏感信息的使用、加工、传输等处理范围</w:t>
      </w:r>
    </w:p>
    <w:p>
      <w:pPr>
        <w:snapToGrid w:val="0"/>
        <w:spacing w:line="264" w:lineRule="auto"/>
        <w:ind w:firstLine="422" w:firstLineChars="200"/>
        <w:rPr>
          <w:rFonts w:ascii="宋体" w:hAnsi="宋体"/>
          <w:b/>
        </w:rPr>
      </w:pPr>
      <w:r>
        <w:rPr>
          <w:rFonts w:hint="eastAsia" w:ascii="宋体" w:hAnsi="宋体"/>
          <w:b/>
        </w:rPr>
        <w:t>授权人同意并授权，青岛银行根据本授权取得的相关个人敏感信息以及其他本人公开的个人敏感信息，可以用于以下范围：</w:t>
      </w:r>
    </w:p>
    <w:p>
      <w:pPr>
        <w:snapToGrid w:val="0"/>
        <w:spacing w:line="264" w:lineRule="auto"/>
        <w:ind w:firstLine="422" w:firstLineChars="200"/>
        <w:rPr>
          <w:rFonts w:ascii="宋体" w:hAnsi="宋体"/>
          <w:b/>
        </w:rPr>
      </w:pPr>
      <w:r>
        <w:rPr>
          <w:rFonts w:hint="eastAsia" w:ascii="宋体" w:hAnsi="宋体"/>
          <w:b/>
        </w:rPr>
        <w:t>3.1资格审核、授信审批、卡片制作发放、额度管理、交易授权、分期付款、风险管理、资金结算、账务处理、疑义处理、客户服务、权益服务、贷后管理、欠款催收、资产处置、债权转让。</w:t>
      </w:r>
    </w:p>
    <w:p>
      <w:pPr>
        <w:snapToGrid w:val="0"/>
        <w:spacing w:line="264" w:lineRule="auto"/>
        <w:ind w:firstLine="422" w:firstLineChars="200"/>
        <w:rPr>
          <w:rFonts w:ascii="宋体" w:hAnsi="宋体"/>
          <w:b/>
        </w:rPr>
      </w:pPr>
      <w:r>
        <w:rPr>
          <w:rFonts w:hint="eastAsia" w:ascii="宋体" w:hAnsi="宋体"/>
          <w:b/>
        </w:rPr>
        <w:t>3.</w:t>
      </w:r>
      <w:r>
        <w:rPr>
          <w:rFonts w:hint="eastAsia" w:ascii="宋体" w:hAnsi="宋体"/>
          <w:b/>
          <w:lang w:val="en-US" w:eastAsia="zh-CN"/>
        </w:rPr>
        <w:t>2</w:t>
      </w:r>
      <w:r>
        <w:rPr>
          <w:rFonts w:hint="eastAsia" w:ascii="宋体" w:hAnsi="宋体"/>
          <w:b/>
        </w:rPr>
        <w:t>其他根据金融监管机构以及相关国家机关的相关要求，或青岛银行为履行法律法规、监管要求所必须的内容。</w:t>
      </w:r>
    </w:p>
    <w:p>
      <w:pPr>
        <w:adjustRightInd w:val="0"/>
        <w:snapToGrid w:val="0"/>
        <w:ind w:firstLine="422" w:firstLineChars="200"/>
        <w:rPr>
          <w:rFonts w:hAnsi="宋体"/>
        </w:rPr>
      </w:pPr>
      <w:r>
        <w:rPr>
          <w:rFonts w:hint="eastAsia" w:ascii="宋体" w:hAnsi="宋体"/>
          <w:b/>
        </w:rPr>
        <w:t>4</w:t>
      </w:r>
      <w:r>
        <w:rPr>
          <w:rFonts w:hint="eastAsia" w:hAnsi="宋体"/>
        </w:rPr>
        <w:t>.</w:t>
      </w:r>
      <w:r>
        <w:rPr>
          <w:rFonts w:hint="eastAsia" w:ascii="宋体" w:hAnsi="宋体"/>
        </w:rPr>
        <w:t>授权人征信等个人敏感信息对外提供的特殊约定</w:t>
      </w:r>
    </w:p>
    <w:p>
      <w:pPr>
        <w:adjustRightInd w:val="0"/>
        <w:snapToGrid w:val="0"/>
        <w:ind w:firstLine="420" w:firstLineChars="200"/>
        <w:rPr>
          <w:rFonts w:ascii="宋体" w:hAnsi="宋体"/>
        </w:rPr>
      </w:pPr>
      <w:r>
        <w:rPr>
          <w:rFonts w:hint="eastAsia" w:ascii="宋体" w:hAnsi="宋体"/>
        </w:rPr>
        <w:t>根据征信相关法律法规和监管规定的要求，被授权人有权将在双方相关授信业务关系建立和存续期间获得的与本授权人有关的信息，</w:t>
      </w:r>
      <w:r>
        <w:rPr>
          <w:rFonts w:hint="eastAsia" w:ascii="宋体" w:hAnsi="宋体"/>
          <w:b/>
        </w:rPr>
        <w:t>包括信贷信息、信用信息、个人基本信息、不良信息和其他信息资料</w:t>
      </w:r>
      <w:r>
        <w:rPr>
          <w:rFonts w:hint="eastAsia" w:ascii="宋体" w:hAnsi="宋体"/>
        </w:rPr>
        <w:t>，</w:t>
      </w:r>
      <w:r>
        <w:rPr>
          <w:rFonts w:hint="eastAsia" w:ascii="宋体" w:hAnsi="宋体"/>
          <w:b/>
        </w:rPr>
        <w:t>提供</w:t>
      </w:r>
      <w:r>
        <w:rPr>
          <w:rFonts w:hint="eastAsia" w:ascii="宋体" w:hAnsi="宋体"/>
        </w:rPr>
        <w:t>给金融信用信息基础数据库及</w:t>
      </w:r>
      <w:r>
        <w:rPr>
          <w:rFonts w:hint="eastAsia"/>
        </w:rPr>
        <w:t>其他经国务院征信业监督管理部门批准设立的征信机构</w:t>
      </w:r>
      <w:r>
        <w:rPr>
          <w:rFonts w:hint="eastAsia" w:ascii="宋体" w:hAnsi="宋体"/>
        </w:rPr>
        <w:t>。</w:t>
      </w:r>
    </w:p>
    <w:p>
      <w:pPr>
        <w:adjustRightInd w:val="0"/>
        <w:snapToGrid w:val="0"/>
        <w:ind w:firstLine="420"/>
        <w:rPr>
          <w:rFonts w:ascii="宋体" w:hAnsi="宋体"/>
        </w:rPr>
      </w:pPr>
    </w:p>
    <w:p>
      <w:pPr>
        <w:adjustRightInd w:val="0"/>
        <w:snapToGrid w:val="0"/>
        <w:ind w:firstLine="420" w:firstLineChars="200"/>
        <w:rPr>
          <w:rFonts w:hAnsi="宋体"/>
        </w:rPr>
      </w:pPr>
      <w:r>
        <w:rPr>
          <w:rFonts w:hint="eastAsia" w:ascii="宋体" w:hAnsi="宋体"/>
        </w:rPr>
        <w:t>二、授权期限</w:t>
      </w:r>
    </w:p>
    <w:p>
      <w:pPr>
        <w:adjustRightInd w:val="0"/>
        <w:snapToGrid w:val="0"/>
        <w:ind w:firstLine="420" w:firstLineChars="200"/>
        <w:rPr>
          <w:rFonts w:ascii="宋体" w:hAnsi="宋体"/>
        </w:rPr>
      </w:pPr>
      <w:r>
        <w:rPr>
          <w:rFonts w:hint="eastAsia" w:ascii="宋体" w:hAnsi="宋体"/>
        </w:rPr>
        <w:t>授权期限自</w:t>
      </w:r>
      <w:r>
        <w:rPr>
          <w:rFonts w:hint="eastAsia" w:ascii="宋体" w:hAnsi="宋体"/>
          <w:b/>
          <w:bCs/>
        </w:rPr>
        <w:t>本授权书生效之日起</w:t>
      </w:r>
      <w:r>
        <w:rPr>
          <w:rFonts w:hint="eastAsia" w:ascii="宋体" w:hAnsi="宋体"/>
          <w:b/>
        </w:rPr>
        <w:t>至注销信用卡之日</w:t>
      </w:r>
      <w:r>
        <w:rPr>
          <w:rFonts w:hint="eastAsia" w:ascii="宋体" w:hAnsi="宋体"/>
        </w:rPr>
        <w:t>止。如被授权人经审核拒绝接受本授权人的申请或有合理理由拒绝为授权人继续提供服务，则授权期限至被授权人正式通知本授权人之日止。</w:t>
      </w:r>
    </w:p>
    <w:p>
      <w:pPr>
        <w:adjustRightInd w:val="0"/>
        <w:snapToGrid w:val="0"/>
        <w:ind w:firstLine="420" w:firstLineChars="200"/>
        <w:rPr>
          <w:rFonts w:ascii="宋体" w:hAnsi="宋体"/>
        </w:rPr>
      </w:pPr>
      <w:r>
        <w:rPr>
          <w:rFonts w:hint="eastAsia" w:ascii="宋体" w:hAnsi="宋体"/>
        </w:rPr>
        <w:t>青岛银行在法律法规、监管要求的期限内，以及为实现授权目的所必需的时限内保留</w:t>
      </w:r>
      <w:r>
        <w:rPr>
          <w:rFonts w:ascii="宋体" w:hAnsi="宋体"/>
        </w:rPr>
        <w:t>授权人</w:t>
      </w:r>
      <w:r>
        <w:rPr>
          <w:rFonts w:hint="eastAsia" w:ascii="宋体" w:hAnsi="宋体"/>
        </w:rPr>
        <w:t>的敏感个人信息。</w:t>
      </w:r>
    </w:p>
    <w:p>
      <w:pPr>
        <w:adjustRightInd w:val="0"/>
        <w:snapToGrid w:val="0"/>
        <w:ind w:firstLine="420" w:firstLineChars="200"/>
        <w:rPr>
          <w:rFonts w:ascii="宋体" w:hAnsi="宋体"/>
        </w:rPr>
      </w:pPr>
    </w:p>
    <w:p>
      <w:pPr>
        <w:adjustRightInd w:val="0"/>
        <w:snapToGrid w:val="0"/>
        <w:ind w:firstLine="420" w:firstLineChars="200"/>
        <w:rPr>
          <w:rFonts w:hAnsi="宋体"/>
        </w:rPr>
      </w:pPr>
      <w:r>
        <w:rPr>
          <w:rFonts w:hint="eastAsia" w:ascii="宋体" w:hAnsi="宋体"/>
        </w:rPr>
        <w:t>三、其他</w:t>
      </w:r>
    </w:p>
    <w:p>
      <w:pPr>
        <w:adjustRightInd w:val="0"/>
        <w:snapToGrid w:val="0"/>
        <w:ind w:firstLine="420" w:firstLineChars="200"/>
        <w:rPr>
          <w:rFonts w:ascii="宋体" w:hAnsi="宋体"/>
        </w:rPr>
      </w:pPr>
      <w:r>
        <w:rPr>
          <w:rFonts w:hint="eastAsia" w:ascii="宋体" w:hAnsi="宋体"/>
        </w:rPr>
        <w:t>1.如被授权人超出本授权书的范围违法查询和使用本授权人的信用信息，被授权人应承担相应的法律责任。</w:t>
      </w:r>
    </w:p>
    <w:p>
      <w:pPr>
        <w:adjustRightInd w:val="0"/>
        <w:snapToGrid w:val="0"/>
        <w:ind w:firstLine="420" w:firstLineChars="200"/>
        <w:rPr>
          <w:rFonts w:ascii="宋体" w:hAnsi="宋体"/>
        </w:rPr>
      </w:pPr>
      <w:r>
        <w:rPr>
          <w:rFonts w:hint="eastAsia" w:ascii="宋体" w:hAnsi="宋体"/>
        </w:rPr>
        <w:t>2.授权人知悉并同意在后续的信用卡相关服务（如额度调整、还款方式变更、客户资料变更等）办理流程中补充及调整相关个人信息，如涉及个人身份信息、联系方式、学历学籍信息、居住信息、职业信息、交易信息等必要信息时，无需重新进行授权。</w:t>
      </w:r>
    </w:p>
    <w:p>
      <w:pPr>
        <w:adjustRightInd w:val="0"/>
        <w:snapToGrid w:val="0"/>
        <w:ind w:firstLine="420" w:firstLineChars="200"/>
        <w:rPr>
          <w:rFonts w:ascii="宋体" w:hAnsi="宋体"/>
        </w:rPr>
      </w:pPr>
      <w:r>
        <w:rPr>
          <w:rFonts w:hint="eastAsia" w:ascii="宋体" w:hAnsi="宋体"/>
        </w:rPr>
        <w:t>3.授权人同意，除法律法规另有规定外，青岛银行有权对本授权书的内容进行调整，并按法律法规、监管、领用合约等要求通过营业网点或官方网站等方式公告后施行。公告期内如授权人对变更内容有疑问，可致电青岛银行进行咨询（客服电话：4006696588）。授权人有权在公告期间选择是否继续使用信用卡相关服务，如授权人不接受青岛银行公告内容，应在调整施行前向青岛银行申请变更或终止相关服务；如果授权人未申请变更或终止相关服务，视为授权人接受同意，青岛银行将执行变更后的内容。</w:t>
      </w:r>
    </w:p>
    <w:p>
      <w:pPr>
        <w:adjustRightInd w:val="0"/>
        <w:snapToGrid w:val="0"/>
        <w:ind w:firstLine="420" w:firstLineChars="200"/>
        <w:rPr>
          <w:rFonts w:ascii="宋体" w:hAnsi="宋体"/>
        </w:rPr>
      </w:pPr>
      <w:r>
        <w:rPr>
          <w:rFonts w:hint="eastAsia" w:ascii="宋体" w:hAnsi="宋体"/>
        </w:rPr>
        <w:t>4.本授权书为纸质的，经授权人签名后生效。本授权书为电子形式的，经授权人在青岛银行相关界面上通过勾选或其他方式确认后生效。上述签署方式均对本人具有法律约束力。</w:t>
      </w:r>
    </w:p>
    <w:p>
      <w:pPr>
        <w:adjustRightInd w:val="0"/>
        <w:snapToGrid w:val="0"/>
        <w:ind w:firstLine="422" w:firstLineChars="200"/>
        <w:rPr>
          <w:rFonts w:hAnsi="宋体"/>
          <w:b/>
          <w:bCs/>
        </w:rPr>
      </w:pPr>
      <w:r>
        <w:rPr>
          <w:rFonts w:hint="eastAsia" w:ascii="宋体" w:hAnsi="宋体"/>
          <w:b/>
          <w:bCs/>
        </w:rPr>
        <w:t>5.本授权人知悉和完全理解本授权书的内容，本授权书下的授权是本授权人自愿做出的真实意思表示，并愿意承担相应的法律责任。</w:t>
      </w:r>
    </w:p>
    <w:p>
      <w:pPr>
        <w:adjustRightInd w:val="0"/>
        <w:snapToGrid w:val="0"/>
        <w:ind w:firstLine="573"/>
        <w:rPr>
          <w:rFonts w:hAnsi="宋体"/>
        </w:rPr>
      </w:pPr>
      <w:r>
        <w:rPr>
          <w:rFonts w:hAnsi="宋体"/>
        </w:rPr>
        <w:t xml:space="preserve"> </w:t>
      </w:r>
    </w:p>
    <w:p>
      <w:pPr>
        <w:adjustRightInd w:val="0"/>
        <w:snapToGrid w:val="0"/>
        <w:rPr>
          <w:rFonts w:hAnsi="宋体"/>
        </w:rPr>
      </w:pPr>
      <w:r>
        <w:rPr>
          <w:rFonts w:hAnsi="宋体"/>
        </w:rPr>
        <w:t xml:space="preserve"> </w:t>
      </w:r>
    </w:p>
    <w:p>
      <w:pPr>
        <w:adjustRightInd w:val="0"/>
        <w:snapToGrid w:val="0"/>
        <w:rPr>
          <w:rFonts w:hAnsi="宋体"/>
        </w:rPr>
      </w:pPr>
      <w:r>
        <w:rPr>
          <w:rFonts w:hint="eastAsia" w:ascii="宋体" w:hAnsi="宋体"/>
        </w:rPr>
        <w:t>客户签名：</w:t>
      </w:r>
      <w:r>
        <w:rPr>
          <w:rFonts w:hint="eastAsia" w:hAnsi="宋体"/>
        </w:rPr>
        <w:t xml:space="preserve">              </w:t>
      </w:r>
    </w:p>
    <w:p>
      <w:pPr>
        <w:adjustRightInd w:val="0"/>
        <w:snapToGrid w:val="0"/>
        <w:ind w:firstLine="573"/>
        <w:rPr>
          <w:rFonts w:hAnsi="宋体"/>
        </w:rPr>
      </w:pPr>
      <w:r>
        <w:rPr>
          <w:rFonts w:hAnsi="宋体"/>
        </w:rPr>
        <w:t xml:space="preserve"> </w:t>
      </w:r>
    </w:p>
    <w:p>
      <w:pPr>
        <w:adjustRightInd w:val="0"/>
        <w:snapToGrid w:val="0"/>
        <w:rPr>
          <w:rFonts w:hAnsi="宋体"/>
        </w:rPr>
      </w:pPr>
      <w:r>
        <w:rPr>
          <w:rFonts w:hAnsi="宋体"/>
        </w:rPr>
        <w:t xml:space="preserve"> </w:t>
      </w:r>
    </w:p>
    <w:p>
      <w:pPr>
        <w:adjustRightInd w:val="0"/>
        <w:snapToGrid w:val="0"/>
        <w:rPr>
          <w:rFonts w:hAnsi="宋体"/>
        </w:rPr>
      </w:pPr>
      <w:r>
        <w:rPr>
          <w:rFonts w:hint="eastAsia" w:ascii="宋体" w:hAnsi="宋体"/>
        </w:rPr>
        <w:t>证件号码：</w:t>
      </w:r>
    </w:p>
    <w:p>
      <w:pPr>
        <w:adjustRightInd w:val="0"/>
        <w:snapToGrid w:val="0"/>
        <w:rPr>
          <w:rFonts w:hAnsi="宋体"/>
        </w:rPr>
      </w:pPr>
      <w:r>
        <w:rPr>
          <w:rFonts w:hint="eastAsia" w:hAnsi="宋体"/>
        </w:rPr>
        <w:t xml:space="preserve">                                     </w:t>
      </w:r>
    </w:p>
    <w:p>
      <w:pPr>
        <w:adjustRightInd w:val="0"/>
        <w:snapToGrid w:val="0"/>
        <w:rPr>
          <w:rFonts w:hAnsi="宋体"/>
        </w:rPr>
      </w:pPr>
      <w:r>
        <w:rPr>
          <w:rFonts w:hint="eastAsia" w:hAnsi="宋体"/>
        </w:rPr>
        <w:t xml:space="preserve">                                   </w:t>
      </w:r>
    </w:p>
    <w:p>
      <w:pPr>
        <w:adjustRightInd w:val="0"/>
        <w:snapToGrid w:val="0"/>
        <w:rPr>
          <w:rFonts w:hAnsi="宋体"/>
        </w:rPr>
      </w:pPr>
      <w:r>
        <w:rPr>
          <w:rFonts w:hint="eastAsia" w:hAnsi="宋体"/>
        </w:rPr>
        <w:t>授权日期：</w:t>
      </w:r>
    </w:p>
    <w:p>
      <w:pPr>
        <w:jc w:val="center"/>
        <w:rPr>
          <w:color w:val="000000"/>
          <w:szCs w:val="21"/>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wMTdiZjM3YTU4YzhkZDkxYjg0OWNmZjY4NjMyYjYifQ=="/>
  </w:docVars>
  <w:rsids>
    <w:rsidRoot w:val="008F0AFD"/>
    <w:rsid w:val="00030FFF"/>
    <w:rsid w:val="00036370"/>
    <w:rsid w:val="00057CAA"/>
    <w:rsid w:val="000A5061"/>
    <w:rsid w:val="000B4FE8"/>
    <w:rsid w:val="00105733"/>
    <w:rsid w:val="0012586B"/>
    <w:rsid w:val="001B3376"/>
    <w:rsid w:val="001F7AFF"/>
    <w:rsid w:val="00261543"/>
    <w:rsid w:val="002A52A6"/>
    <w:rsid w:val="002C583F"/>
    <w:rsid w:val="003A6777"/>
    <w:rsid w:val="004D640F"/>
    <w:rsid w:val="005A5FD2"/>
    <w:rsid w:val="00694358"/>
    <w:rsid w:val="00766229"/>
    <w:rsid w:val="00776C07"/>
    <w:rsid w:val="007C7442"/>
    <w:rsid w:val="008C6B05"/>
    <w:rsid w:val="008F0AFD"/>
    <w:rsid w:val="0090686C"/>
    <w:rsid w:val="00927D72"/>
    <w:rsid w:val="009B593B"/>
    <w:rsid w:val="009E0DA7"/>
    <w:rsid w:val="00A47B3D"/>
    <w:rsid w:val="00A915D8"/>
    <w:rsid w:val="00A976AC"/>
    <w:rsid w:val="00AE1C22"/>
    <w:rsid w:val="00B04C37"/>
    <w:rsid w:val="00B04F38"/>
    <w:rsid w:val="00B4002B"/>
    <w:rsid w:val="00C75F15"/>
    <w:rsid w:val="00C923A8"/>
    <w:rsid w:val="00DB287F"/>
    <w:rsid w:val="00DE0C89"/>
    <w:rsid w:val="00E54AC0"/>
    <w:rsid w:val="00E74750"/>
    <w:rsid w:val="00FF287B"/>
    <w:rsid w:val="00FF3EBA"/>
    <w:rsid w:val="0409654D"/>
    <w:rsid w:val="0C235ED7"/>
    <w:rsid w:val="0C733A4A"/>
    <w:rsid w:val="0DB253C7"/>
    <w:rsid w:val="109A0A13"/>
    <w:rsid w:val="11D01A73"/>
    <w:rsid w:val="12B46CEC"/>
    <w:rsid w:val="1A6C56ED"/>
    <w:rsid w:val="1F016DA3"/>
    <w:rsid w:val="1FA94E30"/>
    <w:rsid w:val="20A21E97"/>
    <w:rsid w:val="22AB4E7B"/>
    <w:rsid w:val="23057498"/>
    <w:rsid w:val="2873043B"/>
    <w:rsid w:val="2CD07E96"/>
    <w:rsid w:val="2FD5462C"/>
    <w:rsid w:val="318B2921"/>
    <w:rsid w:val="390514A9"/>
    <w:rsid w:val="3D1667ED"/>
    <w:rsid w:val="3E017512"/>
    <w:rsid w:val="4288075B"/>
    <w:rsid w:val="460653A7"/>
    <w:rsid w:val="46D34527"/>
    <w:rsid w:val="47BE4C59"/>
    <w:rsid w:val="4B3E2EDC"/>
    <w:rsid w:val="4E6F066A"/>
    <w:rsid w:val="5D476794"/>
    <w:rsid w:val="5DB662DC"/>
    <w:rsid w:val="636E3DDD"/>
    <w:rsid w:val="63922DDC"/>
    <w:rsid w:val="65C86093"/>
    <w:rsid w:val="673D5A3D"/>
    <w:rsid w:val="6B7854B0"/>
    <w:rsid w:val="72BE54D6"/>
    <w:rsid w:val="778F57DF"/>
    <w:rsid w:val="77B4401F"/>
    <w:rsid w:val="7EC8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脚 字符"/>
    <w:basedOn w:val="8"/>
    <w:link w:val="4"/>
    <w:qFormat/>
    <w:uiPriority w:val="0"/>
    <w:rPr>
      <w:rFonts w:ascii="Times New Roman" w:hAnsi="Times New Roman" w:eastAsia="宋体" w:cs="Times New Roman"/>
      <w:sz w:val="18"/>
      <w:szCs w:val="18"/>
    </w:rPr>
  </w:style>
  <w:style w:type="character" w:customStyle="1" w:styleId="12">
    <w:name w:val="页眉 字符"/>
    <w:basedOn w:val="8"/>
    <w:link w:val="5"/>
    <w:qFormat/>
    <w:uiPriority w:val="99"/>
    <w:rPr>
      <w:rFonts w:ascii="Times New Roman" w:hAnsi="Times New Roman" w:eastAsia="宋体" w:cs="Times New Roman"/>
      <w:sz w:val="18"/>
      <w:szCs w:val="18"/>
    </w:rPr>
  </w:style>
  <w:style w:type="character" w:customStyle="1" w:styleId="13">
    <w:name w:val="批注文字 字符"/>
    <w:basedOn w:val="8"/>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character" w:customStyle="1" w:styleId="15">
    <w:name w:val="sect2content"/>
    <w:basedOn w:val="8"/>
    <w:qFormat/>
    <w:uiPriority w:val="0"/>
  </w:style>
  <w:style w:type="character" w:customStyle="1" w:styleId="16">
    <w:name w:val="highlight"/>
    <w:basedOn w:val="8"/>
    <w:qFormat/>
    <w:uiPriority w:val="0"/>
  </w:style>
  <w:style w:type="character" w:customStyle="1" w:styleId="17">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362</Words>
  <Characters>2066</Characters>
  <Lines>17</Lines>
  <Paragraphs>4</Paragraphs>
  <TotalTime>75</TotalTime>
  <ScaleCrop>false</ScaleCrop>
  <LinksUpToDate>false</LinksUpToDate>
  <CharactersWithSpaces>2424</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2021-12-06T06:18:00Z</dcterms:created>
  <dc:creator>郑丽萍</dc:creator>
  <cp:lastModifiedBy>QD23000008</cp:lastModifiedBy>
  <dcterms:modified xsi:type="dcterms:W3CDTF">2024-04-15T02:20:15Z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208DA3BDC62B427F9278F81807956A6A_13</vt:lpwstr>
  </property>
</Properties>
</file>