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5A0CBD">
      <w:pPr>
        <w:widowControl/>
        <w:shd w:val="clear" w:color="auto" w:fill="FFFFFF"/>
        <w:spacing w:before="100" w:beforeAutospacing="1" w:after="100" w:afterAutospacing="1" w:line="360" w:lineRule="atLeast"/>
        <w:jc w:val="center"/>
        <w:rPr>
          <w:rFonts w:ascii="微软雅黑" w:hAnsi="微软雅黑" w:eastAsia="微软雅黑" w:cs="Segoe UI"/>
          <w:b/>
          <w:bCs/>
          <w:color w:val="000000"/>
          <w:kern w:val="0"/>
          <w:sz w:val="44"/>
          <w:szCs w:val="44"/>
        </w:rPr>
      </w:pPr>
      <w:r>
        <w:rPr>
          <w:rFonts w:hint="eastAsia" w:ascii="微软雅黑" w:hAnsi="微软雅黑" w:eastAsia="微软雅黑" w:cs="Segoe UI"/>
          <w:b/>
          <w:bCs/>
          <w:color w:val="000000"/>
          <w:kern w:val="0"/>
          <w:sz w:val="44"/>
          <w:szCs w:val="44"/>
        </w:rPr>
        <w:t>个人结构性存产品账单</w:t>
      </w:r>
    </w:p>
    <w:p w14:paraId="463643B8">
      <w:pPr>
        <w:widowControl/>
        <w:shd w:val="clear" w:color="auto" w:fill="FFFFFF"/>
        <w:spacing w:before="100" w:beforeAutospacing="1" w:after="100" w:afterAutospacing="1" w:line="360" w:lineRule="atLeast"/>
        <w:jc w:val="center"/>
        <w:rPr>
          <w:rFonts w:ascii="微软雅黑" w:hAnsi="微软雅黑" w:eastAsia="微软雅黑" w:cs="Segoe UI"/>
          <w:b/>
          <w:bCs/>
          <w:color w:val="000000"/>
          <w:kern w:val="0"/>
          <w:sz w:val="44"/>
          <w:szCs w:val="44"/>
        </w:rPr>
      </w:pPr>
      <w:r>
        <w:rPr>
          <w:rFonts w:hint="eastAsia" w:ascii="仿宋" w:hAnsi="仿宋" w:eastAsia="仿宋" w:cs="Segoe UI"/>
          <w:b/>
          <w:bCs/>
          <w:color w:val="000000"/>
          <w:kern w:val="0"/>
          <w:sz w:val="32"/>
          <w:szCs w:val="32"/>
        </w:rPr>
        <w:t>（账单日</w:t>
      </w:r>
      <w:r>
        <w:rPr>
          <w:rFonts w:hint="eastAsia" w:ascii="仿宋" w:hAnsi="仿宋" w:eastAsia="仿宋" w:cs="Segoe UI"/>
          <w:b/>
          <w:bCs/>
          <w:color w:val="000000"/>
          <w:kern w:val="0"/>
          <w:sz w:val="32"/>
          <w:szCs w:val="32"/>
          <w:lang w:val="en-US" w:eastAsia="zh-CN"/>
        </w:rPr>
        <w:t>12</w:t>
      </w:r>
      <w:r>
        <w:rPr>
          <w:rFonts w:hint="eastAsia" w:ascii="仿宋" w:hAnsi="仿宋" w:eastAsia="仿宋" w:cs="Segoe UI"/>
          <w:b/>
          <w:bCs/>
          <w:color w:val="000000"/>
          <w:kern w:val="0"/>
          <w:sz w:val="32"/>
          <w:szCs w:val="32"/>
        </w:rPr>
        <w:t>月</w:t>
      </w:r>
      <w:r>
        <w:rPr>
          <w:rFonts w:hint="eastAsia" w:ascii="仿宋" w:hAnsi="仿宋" w:eastAsia="仿宋" w:cs="Segoe UI"/>
          <w:b/>
          <w:bCs/>
          <w:color w:val="000000"/>
          <w:kern w:val="0"/>
          <w:sz w:val="32"/>
          <w:szCs w:val="32"/>
          <w:lang w:val="en-US" w:eastAsia="zh-CN"/>
        </w:rPr>
        <w:t>31</w:t>
      </w:r>
      <w:r>
        <w:rPr>
          <w:rFonts w:hint="eastAsia" w:ascii="仿宋" w:hAnsi="仿宋" w:eastAsia="仿宋" w:cs="Segoe UI"/>
          <w:b/>
          <w:bCs/>
          <w:color w:val="000000"/>
          <w:kern w:val="0"/>
          <w:sz w:val="32"/>
          <w:szCs w:val="32"/>
        </w:rPr>
        <w:t>日）</w:t>
      </w:r>
    </w:p>
    <w:p w14:paraId="7FB1B49C">
      <w:pPr>
        <w:widowControl/>
        <w:shd w:val="clear" w:color="auto" w:fill="FFFFFF"/>
        <w:spacing w:before="100" w:beforeAutospacing="1" w:after="100" w:afterAutospacing="1" w:line="360" w:lineRule="atLeast"/>
        <w:rPr>
          <w:rFonts w:hint="default" w:ascii="仿宋" w:hAnsi="仿宋" w:eastAsia="仿宋" w:cs="Segoe UI"/>
          <w:b/>
          <w:bCs/>
          <w:color w:val="000000"/>
          <w:kern w:val="0"/>
          <w:sz w:val="32"/>
          <w:szCs w:val="32"/>
          <w:lang w:val="en-US" w:eastAsia="zh-CN"/>
        </w:rPr>
      </w:pPr>
      <w:r>
        <w:rPr>
          <w:rFonts w:hint="eastAsia" w:ascii="仿宋" w:hAnsi="仿宋" w:eastAsia="仿宋" w:cs="Segoe UI"/>
          <w:b/>
          <w:bCs/>
          <w:color w:val="000000"/>
          <w:kern w:val="0"/>
          <w:sz w:val="32"/>
          <w:szCs w:val="32"/>
        </w:rPr>
        <w:t>尊敬的客户：</w:t>
      </w:r>
      <w:r>
        <w:rPr>
          <w:rFonts w:hint="eastAsia" w:ascii="仿宋" w:hAnsi="仿宋" w:eastAsia="仿宋" w:cs="Segoe UI"/>
          <w:b/>
          <w:bCs/>
          <w:color w:val="000000"/>
          <w:kern w:val="0"/>
          <w:sz w:val="32"/>
          <w:szCs w:val="32"/>
          <w:lang w:val="en-US" w:eastAsia="zh-CN"/>
        </w:rPr>
        <w:t xml:space="preserve">  </w:t>
      </w:r>
    </w:p>
    <w:p w14:paraId="235DE8A0">
      <w:pPr>
        <w:widowControl/>
        <w:shd w:val="clear" w:color="auto" w:fill="FFFFFF"/>
        <w:spacing w:before="100" w:beforeAutospacing="1" w:after="100" w:afterAutospacing="1" w:line="360" w:lineRule="atLeast"/>
        <w:rPr>
          <w:rFonts w:ascii="仿宋" w:hAnsi="仿宋" w:eastAsia="仿宋" w:cs="Segoe UI"/>
          <w:b/>
          <w:bCs/>
          <w:color w:val="000000"/>
          <w:kern w:val="0"/>
          <w:sz w:val="32"/>
          <w:szCs w:val="32"/>
        </w:rPr>
      </w:pPr>
      <w:r>
        <w:rPr>
          <w:rFonts w:hint="eastAsia" w:ascii="仿宋" w:hAnsi="仿宋" w:eastAsia="仿宋" w:cs="Segoe UI"/>
          <w:b/>
          <w:bCs/>
          <w:color w:val="000000"/>
          <w:kern w:val="0"/>
          <w:sz w:val="32"/>
          <w:szCs w:val="32"/>
        </w:rPr>
        <w:t xml:space="preserve"> </w:t>
      </w:r>
      <w:r>
        <w:rPr>
          <w:rFonts w:ascii="仿宋" w:hAnsi="仿宋" w:eastAsia="仿宋" w:cs="Segoe UI"/>
          <w:b/>
          <w:bCs/>
          <w:color w:val="000000"/>
          <w:kern w:val="0"/>
          <w:sz w:val="32"/>
          <w:szCs w:val="32"/>
        </w:rPr>
        <w:t xml:space="preserve">     </w:t>
      </w:r>
      <w:r>
        <w:rPr>
          <w:rFonts w:hint="eastAsia" w:ascii="仿宋" w:hAnsi="仿宋" w:eastAsia="仿宋" w:cs="Segoe UI"/>
          <w:b/>
          <w:bCs/>
          <w:color w:val="000000"/>
          <w:kern w:val="0"/>
          <w:sz w:val="32"/>
          <w:szCs w:val="32"/>
        </w:rPr>
        <w:t>青岛银行</w:t>
      </w:r>
      <w:r>
        <w:rPr>
          <w:rFonts w:hint="eastAsia" w:ascii="仿宋" w:hAnsi="仿宋" w:eastAsia="仿宋" w:cs="Segoe UI"/>
          <w:b/>
          <w:bCs/>
          <w:color w:val="000000"/>
          <w:kern w:val="0"/>
          <w:sz w:val="32"/>
          <w:szCs w:val="32"/>
          <w:lang w:val="en-US" w:eastAsia="zh-CN"/>
        </w:rPr>
        <w:t>12</w:t>
      </w:r>
      <w:r>
        <w:rPr>
          <w:rFonts w:hint="eastAsia" w:ascii="仿宋" w:hAnsi="仿宋" w:eastAsia="仿宋" w:cs="Segoe UI"/>
          <w:b/>
          <w:bCs/>
          <w:color w:val="000000"/>
          <w:kern w:val="0"/>
          <w:sz w:val="32"/>
          <w:szCs w:val="32"/>
        </w:rPr>
        <w:t>月个人结构性存款产品账单如下：</w:t>
      </w:r>
    </w:p>
    <w:tbl>
      <w:tblPr>
        <w:tblStyle w:val="7"/>
        <w:tblW w:w="5000" w:type="pct"/>
        <w:tblInd w:w="0" w:type="dxa"/>
        <w:tblLayout w:type="autofit"/>
        <w:tblCellMar>
          <w:top w:w="0" w:type="dxa"/>
          <w:left w:w="108" w:type="dxa"/>
          <w:bottom w:w="0" w:type="dxa"/>
          <w:right w:w="108" w:type="dxa"/>
        </w:tblCellMar>
      </w:tblPr>
      <w:tblGrid>
        <w:gridCol w:w="1451"/>
        <w:gridCol w:w="1779"/>
        <w:gridCol w:w="948"/>
        <w:gridCol w:w="914"/>
        <w:gridCol w:w="1704"/>
        <w:gridCol w:w="1726"/>
      </w:tblGrid>
      <w:tr w14:paraId="334EC53E">
        <w:tblPrEx>
          <w:tblCellMar>
            <w:top w:w="0" w:type="dxa"/>
            <w:left w:w="108" w:type="dxa"/>
            <w:bottom w:w="0" w:type="dxa"/>
            <w:right w:w="108" w:type="dxa"/>
          </w:tblCellMar>
        </w:tblPrEx>
        <w:trPr>
          <w:trHeight w:val="798" w:hRule="atLeast"/>
        </w:trPr>
        <w:tc>
          <w:tcPr>
            <w:tcW w:w="851" w:type="pct"/>
            <w:tcBorders>
              <w:top w:val="single" w:color="auto" w:sz="4" w:space="0"/>
              <w:left w:val="single" w:color="auto" w:sz="4" w:space="0"/>
              <w:bottom w:val="single" w:color="auto" w:sz="4" w:space="0"/>
              <w:right w:val="single" w:color="auto" w:sz="4" w:space="0"/>
            </w:tcBorders>
            <w:shd w:val="clear" w:color="auto" w:fill="auto"/>
            <w:vAlign w:val="bottom"/>
          </w:tcPr>
          <w:p w14:paraId="15051BD0">
            <w:pPr>
              <w:widowControl/>
              <w:jc w:val="center"/>
              <w:rPr>
                <w:rFonts w:ascii="宋体" w:hAnsi="宋体" w:cs="宋体"/>
                <w:b/>
                <w:bCs/>
                <w:kern w:val="0"/>
                <w:sz w:val="20"/>
                <w:szCs w:val="20"/>
              </w:rPr>
            </w:pPr>
            <w:r>
              <w:rPr>
                <w:rFonts w:hint="eastAsia" w:ascii="宋体" w:hAnsi="宋体" w:cs="宋体"/>
                <w:b/>
                <w:bCs/>
                <w:kern w:val="0"/>
                <w:sz w:val="20"/>
                <w:szCs w:val="20"/>
              </w:rPr>
              <w:t>产品代码</w:t>
            </w:r>
          </w:p>
        </w:tc>
        <w:tc>
          <w:tcPr>
            <w:tcW w:w="1043" w:type="pct"/>
            <w:tcBorders>
              <w:top w:val="single" w:color="auto" w:sz="4" w:space="0"/>
              <w:left w:val="nil"/>
              <w:bottom w:val="single" w:color="auto" w:sz="4" w:space="0"/>
              <w:right w:val="single" w:color="auto" w:sz="4" w:space="0"/>
            </w:tcBorders>
            <w:shd w:val="clear" w:color="auto" w:fill="auto"/>
            <w:vAlign w:val="bottom"/>
          </w:tcPr>
          <w:p w14:paraId="57726D89">
            <w:pPr>
              <w:widowControl/>
              <w:jc w:val="center"/>
              <w:rPr>
                <w:rFonts w:hint="eastAsia" w:ascii="宋体" w:hAnsi="宋体" w:eastAsia="宋体" w:cs="宋体"/>
                <w:b/>
                <w:bCs/>
                <w:kern w:val="0"/>
                <w:sz w:val="20"/>
                <w:szCs w:val="20"/>
                <w:lang w:eastAsia="zh-CN"/>
              </w:rPr>
            </w:pPr>
            <w:r>
              <w:rPr>
                <w:rFonts w:hint="eastAsia" w:ascii="宋体" w:hAnsi="宋体" w:cs="宋体"/>
                <w:b/>
                <w:bCs/>
                <w:kern w:val="0"/>
                <w:sz w:val="20"/>
                <w:szCs w:val="20"/>
              </w:rPr>
              <w:t>募集金额</w:t>
            </w:r>
          </w:p>
          <w:p w14:paraId="36AADC1F">
            <w:pPr>
              <w:widowControl/>
              <w:jc w:val="center"/>
              <w:rPr>
                <w:rFonts w:ascii="宋体" w:hAnsi="宋体" w:cs="宋体"/>
                <w:b/>
                <w:bCs/>
                <w:kern w:val="0"/>
                <w:sz w:val="20"/>
                <w:szCs w:val="20"/>
              </w:rPr>
            </w:pPr>
            <w:r>
              <w:rPr>
                <w:rFonts w:hint="eastAsia" w:ascii="宋体" w:hAnsi="宋体" w:cs="宋体"/>
                <w:b/>
                <w:bCs/>
                <w:kern w:val="0"/>
                <w:sz w:val="20"/>
                <w:szCs w:val="20"/>
              </w:rPr>
              <w:t>（人民币元）</w:t>
            </w:r>
          </w:p>
        </w:tc>
        <w:tc>
          <w:tcPr>
            <w:tcW w:w="556" w:type="pct"/>
            <w:tcBorders>
              <w:top w:val="single" w:color="auto" w:sz="4" w:space="0"/>
              <w:left w:val="nil"/>
              <w:bottom w:val="single" w:color="auto" w:sz="4" w:space="0"/>
              <w:right w:val="single" w:color="auto" w:sz="4" w:space="0"/>
            </w:tcBorders>
            <w:shd w:val="clear" w:color="auto" w:fill="auto"/>
            <w:vAlign w:val="bottom"/>
          </w:tcPr>
          <w:p w14:paraId="63743098">
            <w:pPr>
              <w:widowControl/>
              <w:jc w:val="center"/>
              <w:rPr>
                <w:rFonts w:ascii="Arial" w:hAnsi="Arial" w:cs="Arial"/>
                <w:b/>
                <w:bCs/>
                <w:kern w:val="0"/>
                <w:sz w:val="20"/>
                <w:szCs w:val="20"/>
              </w:rPr>
            </w:pPr>
            <w:r>
              <w:rPr>
                <w:rFonts w:hint="eastAsia" w:ascii="宋体" w:hAnsi="宋体" w:cs="Arial"/>
                <w:b/>
                <w:bCs/>
                <w:kern w:val="0"/>
                <w:sz w:val="20"/>
                <w:szCs w:val="20"/>
              </w:rPr>
              <w:t>业绩比较基准下限（</w:t>
            </w:r>
            <w:r>
              <w:rPr>
                <w:rFonts w:ascii="Arial" w:hAnsi="Arial" w:cs="Arial"/>
                <w:b/>
                <w:bCs/>
                <w:kern w:val="0"/>
                <w:sz w:val="20"/>
                <w:szCs w:val="20"/>
              </w:rPr>
              <w:t>%</w:t>
            </w:r>
            <w:r>
              <w:rPr>
                <w:rFonts w:hint="eastAsia" w:ascii="宋体" w:hAnsi="宋体" w:cs="Arial"/>
                <w:b/>
                <w:bCs/>
                <w:kern w:val="0"/>
                <w:sz w:val="20"/>
                <w:szCs w:val="20"/>
              </w:rPr>
              <w:t>）</w:t>
            </w:r>
          </w:p>
        </w:tc>
        <w:tc>
          <w:tcPr>
            <w:tcW w:w="536" w:type="pct"/>
            <w:tcBorders>
              <w:top w:val="single" w:color="auto" w:sz="4" w:space="0"/>
              <w:left w:val="nil"/>
              <w:bottom w:val="single" w:color="auto" w:sz="4" w:space="0"/>
              <w:right w:val="single" w:color="auto" w:sz="4" w:space="0"/>
            </w:tcBorders>
            <w:shd w:val="clear" w:color="auto" w:fill="auto"/>
            <w:vAlign w:val="bottom"/>
          </w:tcPr>
          <w:p w14:paraId="51BE589D">
            <w:pPr>
              <w:widowControl/>
              <w:jc w:val="center"/>
              <w:rPr>
                <w:rFonts w:ascii="Arial" w:hAnsi="Arial" w:cs="Arial"/>
                <w:b/>
                <w:bCs/>
                <w:kern w:val="0"/>
                <w:sz w:val="20"/>
                <w:szCs w:val="20"/>
              </w:rPr>
            </w:pPr>
            <w:r>
              <w:rPr>
                <w:rFonts w:hint="eastAsia" w:ascii="宋体" w:hAnsi="宋体" w:cs="Arial"/>
                <w:b/>
                <w:bCs/>
                <w:kern w:val="0"/>
                <w:sz w:val="20"/>
                <w:szCs w:val="20"/>
              </w:rPr>
              <w:t>业绩比较基准上限（</w:t>
            </w:r>
            <w:r>
              <w:rPr>
                <w:rFonts w:ascii="Arial" w:hAnsi="Arial" w:cs="Arial"/>
                <w:b/>
                <w:bCs/>
                <w:kern w:val="0"/>
                <w:sz w:val="20"/>
                <w:szCs w:val="20"/>
              </w:rPr>
              <w:t>%</w:t>
            </w:r>
            <w:r>
              <w:rPr>
                <w:rFonts w:hint="eastAsia" w:ascii="宋体" w:hAnsi="宋体" w:cs="Arial"/>
                <w:b/>
                <w:bCs/>
                <w:kern w:val="0"/>
                <w:sz w:val="20"/>
                <w:szCs w:val="20"/>
              </w:rPr>
              <w:t>）</w:t>
            </w:r>
          </w:p>
        </w:tc>
        <w:tc>
          <w:tcPr>
            <w:tcW w:w="999" w:type="pct"/>
            <w:tcBorders>
              <w:top w:val="single" w:color="auto" w:sz="4" w:space="0"/>
              <w:left w:val="nil"/>
              <w:bottom w:val="single" w:color="auto" w:sz="4" w:space="0"/>
              <w:right w:val="single" w:color="auto" w:sz="4" w:space="0"/>
            </w:tcBorders>
            <w:shd w:val="clear" w:color="auto" w:fill="auto"/>
            <w:vAlign w:val="bottom"/>
          </w:tcPr>
          <w:p w14:paraId="3CBD1D6F">
            <w:pPr>
              <w:widowControl/>
              <w:jc w:val="center"/>
              <w:rPr>
                <w:rFonts w:ascii="宋体" w:hAnsi="宋体" w:cs="宋体"/>
                <w:b/>
                <w:bCs/>
                <w:kern w:val="0"/>
                <w:sz w:val="20"/>
                <w:szCs w:val="20"/>
              </w:rPr>
            </w:pPr>
            <w:r>
              <w:rPr>
                <w:rFonts w:hint="eastAsia" w:ascii="宋体" w:hAnsi="宋体" w:cs="宋体"/>
                <w:b/>
                <w:bCs/>
                <w:kern w:val="0"/>
                <w:sz w:val="20"/>
                <w:szCs w:val="20"/>
              </w:rPr>
              <w:t>衍生品交易</w:t>
            </w:r>
          </w:p>
          <w:p w14:paraId="3FCF85FA">
            <w:pPr>
              <w:widowControl/>
              <w:jc w:val="center"/>
              <w:rPr>
                <w:rFonts w:hint="eastAsia" w:ascii="宋体" w:hAnsi="宋体" w:eastAsia="宋体" w:cs="宋体"/>
                <w:b/>
                <w:bCs/>
                <w:kern w:val="0"/>
                <w:sz w:val="20"/>
                <w:szCs w:val="20"/>
                <w:lang w:eastAsia="zh-CN"/>
              </w:rPr>
            </w:pPr>
            <w:r>
              <w:rPr>
                <w:rFonts w:hint="eastAsia" w:ascii="宋体" w:hAnsi="宋体" w:cs="宋体"/>
                <w:b/>
                <w:bCs/>
                <w:kern w:val="0"/>
                <w:sz w:val="20"/>
                <w:szCs w:val="20"/>
              </w:rPr>
              <w:t>规模</w:t>
            </w:r>
          </w:p>
          <w:p w14:paraId="4BDCA544">
            <w:pPr>
              <w:widowControl/>
              <w:jc w:val="center"/>
              <w:rPr>
                <w:rFonts w:ascii="宋体" w:hAnsi="宋体" w:cs="宋体"/>
                <w:b/>
                <w:bCs/>
                <w:kern w:val="0"/>
                <w:sz w:val="20"/>
                <w:szCs w:val="20"/>
              </w:rPr>
            </w:pPr>
            <w:r>
              <w:rPr>
                <w:rFonts w:hint="eastAsia" w:ascii="宋体" w:hAnsi="宋体" w:cs="宋体"/>
                <w:b/>
                <w:bCs/>
                <w:kern w:val="0"/>
                <w:sz w:val="20"/>
                <w:szCs w:val="20"/>
              </w:rPr>
              <w:t>（人民币元）</w:t>
            </w:r>
          </w:p>
        </w:tc>
        <w:tc>
          <w:tcPr>
            <w:tcW w:w="1012" w:type="pct"/>
            <w:tcBorders>
              <w:top w:val="single" w:color="auto" w:sz="4" w:space="0"/>
              <w:left w:val="nil"/>
              <w:bottom w:val="single" w:color="auto" w:sz="4" w:space="0"/>
              <w:right w:val="single" w:color="auto" w:sz="4" w:space="0"/>
            </w:tcBorders>
            <w:shd w:val="clear" w:color="auto" w:fill="auto"/>
            <w:vAlign w:val="bottom"/>
          </w:tcPr>
          <w:p w14:paraId="2FDEE193">
            <w:pPr>
              <w:widowControl/>
              <w:jc w:val="center"/>
              <w:rPr>
                <w:rFonts w:ascii="宋体" w:hAnsi="宋体" w:cs="宋体"/>
                <w:b/>
                <w:bCs/>
                <w:kern w:val="0"/>
                <w:sz w:val="20"/>
                <w:szCs w:val="20"/>
              </w:rPr>
            </w:pPr>
            <w:r>
              <w:rPr>
                <w:rFonts w:hint="eastAsia" w:ascii="宋体" w:hAnsi="宋体" w:cs="宋体"/>
                <w:b/>
                <w:bCs/>
                <w:kern w:val="0"/>
                <w:sz w:val="20"/>
                <w:szCs w:val="20"/>
              </w:rPr>
              <w:t>衍生品公允</w:t>
            </w:r>
          </w:p>
          <w:p w14:paraId="3E16038D">
            <w:pPr>
              <w:widowControl/>
              <w:jc w:val="center"/>
              <w:rPr>
                <w:rFonts w:hint="eastAsia" w:ascii="宋体" w:hAnsi="宋体" w:eastAsia="宋体" w:cs="宋体"/>
                <w:b/>
                <w:bCs/>
                <w:kern w:val="0"/>
                <w:sz w:val="20"/>
                <w:szCs w:val="20"/>
                <w:lang w:eastAsia="zh-CN"/>
              </w:rPr>
            </w:pPr>
            <w:r>
              <w:rPr>
                <w:rFonts w:hint="eastAsia" w:ascii="宋体" w:hAnsi="宋体" w:cs="宋体"/>
                <w:b/>
                <w:bCs/>
                <w:kern w:val="0"/>
                <w:sz w:val="20"/>
                <w:szCs w:val="20"/>
              </w:rPr>
              <w:t>价值</w:t>
            </w:r>
          </w:p>
          <w:p w14:paraId="67163601">
            <w:pPr>
              <w:widowControl/>
              <w:jc w:val="center"/>
              <w:rPr>
                <w:rFonts w:ascii="宋体" w:hAnsi="宋体" w:cs="宋体"/>
                <w:b/>
                <w:bCs/>
                <w:kern w:val="0"/>
                <w:sz w:val="20"/>
                <w:szCs w:val="20"/>
              </w:rPr>
            </w:pPr>
            <w:r>
              <w:rPr>
                <w:rFonts w:hint="eastAsia" w:ascii="宋体" w:hAnsi="宋体" w:cs="宋体"/>
                <w:b/>
                <w:bCs/>
                <w:kern w:val="0"/>
                <w:sz w:val="20"/>
                <w:szCs w:val="20"/>
              </w:rPr>
              <w:t>（人民币元）</w:t>
            </w:r>
          </w:p>
        </w:tc>
      </w:tr>
      <w:tr w14:paraId="2F334A65">
        <w:tblPrEx>
          <w:tblCellMar>
            <w:top w:w="0" w:type="dxa"/>
            <w:left w:w="108" w:type="dxa"/>
            <w:bottom w:w="0" w:type="dxa"/>
            <w:right w:w="108" w:type="dxa"/>
          </w:tblCellMar>
        </w:tblPrEx>
        <w:trPr>
          <w:trHeight w:val="90" w:hRule="atLeast"/>
        </w:trPr>
        <w:tc>
          <w:tcPr>
            <w:tcW w:w="1451" w:type="dxa"/>
            <w:tcBorders>
              <w:top w:val="nil"/>
              <w:left w:val="single" w:color="auto" w:sz="4" w:space="0"/>
              <w:bottom w:val="single" w:color="auto" w:sz="4" w:space="0"/>
              <w:right w:val="single" w:color="auto" w:sz="4" w:space="0"/>
            </w:tcBorders>
            <w:shd w:val="clear" w:color="auto" w:fill="auto"/>
            <w:noWrap/>
            <w:vAlign w:val="bottom"/>
          </w:tcPr>
          <w:p w14:paraId="0C75A6AD">
            <w:pPr>
              <w:keepNext w:val="0"/>
              <w:keepLines w:val="0"/>
              <w:widowControl/>
              <w:suppressLineNumbers w:val="0"/>
              <w:jc w:val="left"/>
              <w:textAlignment w:val="bottom"/>
              <w:rPr>
                <w:rFonts w:ascii="Arial" w:hAnsi="Arial" w:cs="Arial"/>
                <w:kern w:val="0"/>
                <w:sz w:val="20"/>
                <w:szCs w:val="20"/>
                <w:highlight w:val="yellow"/>
              </w:rPr>
            </w:pPr>
            <w:bookmarkStart w:id="0" w:name="_GoBack" w:colFirst="5" w:colLast="5"/>
            <w:r>
              <w:rPr>
                <w:rFonts w:hint="default" w:ascii="Arial" w:hAnsi="Arial" w:eastAsia="宋体" w:cs="Arial"/>
                <w:i w:val="0"/>
                <w:iCs w:val="0"/>
                <w:color w:val="000000"/>
                <w:kern w:val="0"/>
                <w:sz w:val="20"/>
                <w:szCs w:val="20"/>
                <w:u w:val="none"/>
                <w:lang w:val="en-US" w:eastAsia="zh-CN" w:bidi="ar"/>
              </w:rPr>
              <w:t>JG251M146</w:t>
            </w:r>
          </w:p>
        </w:tc>
        <w:tc>
          <w:tcPr>
            <w:tcW w:w="1779" w:type="dxa"/>
            <w:tcBorders>
              <w:top w:val="nil"/>
              <w:left w:val="nil"/>
              <w:bottom w:val="single" w:color="auto" w:sz="4" w:space="0"/>
              <w:right w:val="single" w:color="auto" w:sz="4" w:space="0"/>
            </w:tcBorders>
            <w:shd w:val="clear" w:color="auto" w:fill="auto"/>
            <w:noWrap/>
            <w:vAlign w:val="bottom"/>
          </w:tcPr>
          <w:p w14:paraId="7578D03D">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84,627,000.00 </w:t>
            </w:r>
          </w:p>
        </w:tc>
        <w:tc>
          <w:tcPr>
            <w:tcW w:w="948" w:type="dxa"/>
            <w:tcBorders>
              <w:top w:val="nil"/>
              <w:left w:val="nil"/>
              <w:bottom w:val="single" w:color="auto" w:sz="4" w:space="0"/>
              <w:right w:val="single" w:color="auto" w:sz="4" w:space="0"/>
            </w:tcBorders>
            <w:shd w:val="clear" w:color="auto" w:fill="auto"/>
            <w:noWrap/>
            <w:vAlign w:val="bottom"/>
          </w:tcPr>
          <w:p w14:paraId="2FFCE813">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0.7</w:t>
            </w:r>
          </w:p>
        </w:tc>
        <w:tc>
          <w:tcPr>
            <w:tcW w:w="914" w:type="dxa"/>
            <w:tcBorders>
              <w:top w:val="nil"/>
              <w:left w:val="nil"/>
              <w:bottom w:val="single" w:color="auto" w:sz="4" w:space="0"/>
              <w:right w:val="single" w:color="auto" w:sz="4" w:space="0"/>
            </w:tcBorders>
            <w:shd w:val="clear" w:color="auto" w:fill="auto"/>
            <w:noWrap/>
            <w:vAlign w:val="bottom"/>
          </w:tcPr>
          <w:p w14:paraId="165B20B2">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1.75</w:t>
            </w:r>
          </w:p>
        </w:tc>
        <w:tc>
          <w:tcPr>
            <w:tcW w:w="1704" w:type="dxa"/>
            <w:tcBorders>
              <w:top w:val="nil"/>
              <w:left w:val="nil"/>
              <w:bottom w:val="single" w:color="auto" w:sz="4" w:space="0"/>
              <w:right w:val="single" w:color="auto" w:sz="4" w:space="0"/>
            </w:tcBorders>
            <w:shd w:val="clear" w:color="auto" w:fill="auto"/>
            <w:noWrap/>
            <w:vAlign w:val="bottom"/>
          </w:tcPr>
          <w:p w14:paraId="66E337BD">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181843.72 </w:t>
            </w:r>
          </w:p>
        </w:tc>
        <w:tc>
          <w:tcPr>
            <w:tcW w:w="1726" w:type="dxa"/>
            <w:tcBorders>
              <w:top w:val="nil"/>
              <w:left w:val="nil"/>
              <w:bottom w:val="single" w:color="auto" w:sz="4" w:space="0"/>
              <w:right w:val="single" w:color="auto" w:sz="4" w:space="0"/>
            </w:tcBorders>
            <w:shd w:val="clear" w:color="auto" w:fill="auto"/>
            <w:noWrap/>
            <w:vAlign w:val="bottom"/>
          </w:tcPr>
          <w:p w14:paraId="25E1337D">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176363.72 </w:t>
            </w:r>
          </w:p>
        </w:tc>
      </w:tr>
      <w:tr w14:paraId="52C92217">
        <w:tblPrEx>
          <w:tblCellMar>
            <w:top w:w="0" w:type="dxa"/>
            <w:left w:w="108" w:type="dxa"/>
            <w:bottom w:w="0" w:type="dxa"/>
            <w:right w:w="108" w:type="dxa"/>
          </w:tblCellMar>
        </w:tblPrEx>
        <w:trPr>
          <w:trHeight w:val="300" w:hRule="atLeast"/>
        </w:trPr>
        <w:tc>
          <w:tcPr>
            <w:tcW w:w="1451" w:type="dxa"/>
            <w:tcBorders>
              <w:top w:val="nil"/>
              <w:left w:val="single" w:color="auto" w:sz="4" w:space="0"/>
              <w:bottom w:val="single" w:color="auto" w:sz="4" w:space="0"/>
              <w:right w:val="single" w:color="auto" w:sz="4" w:space="0"/>
            </w:tcBorders>
            <w:shd w:val="clear" w:color="auto" w:fill="auto"/>
            <w:noWrap/>
            <w:vAlign w:val="bottom"/>
          </w:tcPr>
          <w:p w14:paraId="374AE172">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JG251M147</w:t>
            </w:r>
          </w:p>
        </w:tc>
        <w:tc>
          <w:tcPr>
            <w:tcW w:w="1779" w:type="dxa"/>
            <w:tcBorders>
              <w:top w:val="nil"/>
              <w:left w:val="nil"/>
              <w:bottom w:val="single" w:color="auto" w:sz="4" w:space="0"/>
              <w:right w:val="single" w:color="auto" w:sz="4" w:space="0"/>
            </w:tcBorders>
            <w:shd w:val="clear" w:color="auto" w:fill="auto"/>
            <w:noWrap/>
            <w:vAlign w:val="bottom"/>
          </w:tcPr>
          <w:p w14:paraId="52248715">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131,459,000.00 </w:t>
            </w:r>
          </w:p>
        </w:tc>
        <w:tc>
          <w:tcPr>
            <w:tcW w:w="948" w:type="dxa"/>
            <w:tcBorders>
              <w:top w:val="nil"/>
              <w:left w:val="nil"/>
              <w:bottom w:val="single" w:color="auto" w:sz="4" w:space="0"/>
              <w:right w:val="single" w:color="auto" w:sz="4" w:space="0"/>
            </w:tcBorders>
            <w:shd w:val="clear" w:color="auto" w:fill="auto"/>
            <w:noWrap/>
            <w:vAlign w:val="bottom"/>
          </w:tcPr>
          <w:p w14:paraId="5F3DD16D">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nil"/>
              <w:left w:val="nil"/>
              <w:bottom w:val="single" w:color="auto" w:sz="4" w:space="0"/>
              <w:right w:val="single" w:color="auto" w:sz="4" w:space="0"/>
            </w:tcBorders>
            <w:shd w:val="clear" w:color="auto" w:fill="auto"/>
            <w:noWrap/>
            <w:vAlign w:val="bottom"/>
          </w:tcPr>
          <w:p w14:paraId="5FD24837">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1.75</w:t>
            </w:r>
          </w:p>
        </w:tc>
        <w:tc>
          <w:tcPr>
            <w:tcW w:w="1704" w:type="dxa"/>
            <w:tcBorders>
              <w:top w:val="nil"/>
              <w:left w:val="nil"/>
              <w:bottom w:val="single" w:color="auto" w:sz="4" w:space="0"/>
              <w:right w:val="single" w:color="auto" w:sz="4" w:space="0"/>
            </w:tcBorders>
            <w:shd w:val="clear" w:color="auto" w:fill="auto"/>
            <w:noWrap/>
            <w:vAlign w:val="bottom"/>
          </w:tcPr>
          <w:p w14:paraId="2AE2BE9E">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245630.24 </w:t>
            </w:r>
          </w:p>
        </w:tc>
        <w:tc>
          <w:tcPr>
            <w:tcW w:w="1726" w:type="dxa"/>
            <w:tcBorders>
              <w:top w:val="nil"/>
              <w:left w:val="nil"/>
              <w:bottom w:val="single" w:color="auto" w:sz="4" w:space="0"/>
              <w:right w:val="single" w:color="auto" w:sz="4" w:space="0"/>
            </w:tcBorders>
            <w:shd w:val="clear" w:color="auto" w:fill="auto"/>
            <w:noWrap/>
            <w:vAlign w:val="bottom"/>
          </w:tcPr>
          <w:p w14:paraId="4989DAC8">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238089.78 </w:t>
            </w:r>
          </w:p>
        </w:tc>
      </w:tr>
      <w:tr w14:paraId="54C920CF">
        <w:tblPrEx>
          <w:tblCellMar>
            <w:top w:w="0" w:type="dxa"/>
            <w:left w:w="108" w:type="dxa"/>
            <w:bottom w:w="0" w:type="dxa"/>
            <w:right w:w="108" w:type="dxa"/>
          </w:tblCellMar>
        </w:tblPrEx>
        <w:trPr>
          <w:trHeight w:val="327" w:hRule="atLeast"/>
        </w:trPr>
        <w:tc>
          <w:tcPr>
            <w:tcW w:w="1451" w:type="dxa"/>
            <w:tcBorders>
              <w:top w:val="nil"/>
              <w:left w:val="single" w:color="auto" w:sz="4" w:space="0"/>
              <w:bottom w:val="single" w:color="auto" w:sz="4" w:space="0"/>
              <w:right w:val="single" w:color="auto" w:sz="4" w:space="0"/>
            </w:tcBorders>
            <w:shd w:val="clear" w:color="auto" w:fill="auto"/>
            <w:noWrap/>
            <w:vAlign w:val="bottom"/>
          </w:tcPr>
          <w:p w14:paraId="3BDC7D50">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JG251M148</w:t>
            </w:r>
          </w:p>
        </w:tc>
        <w:tc>
          <w:tcPr>
            <w:tcW w:w="1779" w:type="dxa"/>
            <w:tcBorders>
              <w:top w:val="nil"/>
              <w:left w:val="nil"/>
              <w:bottom w:val="single" w:color="auto" w:sz="4" w:space="0"/>
              <w:right w:val="single" w:color="auto" w:sz="4" w:space="0"/>
            </w:tcBorders>
            <w:shd w:val="clear" w:color="auto" w:fill="auto"/>
            <w:noWrap/>
            <w:vAlign w:val="bottom"/>
          </w:tcPr>
          <w:p w14:paraId="3A92ECAD">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93,994,000.00 </w:t>
            </w:r>
          </w:p>
        </w:tc>
        <w:tc>
          <w:tcPr>
            <w:tcW w:w="948" w:type="dxa"/>
            <w:tcBorders>
              <w:top w:val="nil"/>
              <w:left w:val="nil"/>
              <w:bottom w:val="single" w:color="auto" w:sz="4" w:space="0"/>
              <w:right w:val="single" w:color="auto" w:sz="4" w:space="0"/>
            </w:tcBorders>
            <w:shd w:val="clear" w:color="auto" w:fill="auto"/>
            <w:noWrap/>
            <w:vAlign w:val="bottom"/>
          </w:tcPr>
          <w:p w14:paraId="6D9C2AE8">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nil"/>
              <w:left w:val="nil"/>
              <w:bottom w:val="single" w:color="auto" w:sz="4" w:space="0"/>
              <w:right w:val="single" w:color="auto" w:sz="4" w:space="0"/>
            </w:tcBorders>
            <w:shd w:val="clear" w:color="auto" w:fill="auto"/>
            <w:noWrap/>
            <w:vAlign w:val="bottom"/>
          </w:tcPr>
          <w:p w14:paraId="3F4327BD">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1.75</w:t>
            </w:r>
          </w:p>
        </w:tc>
        <w:tc>
          <w:tcPr>
            <w:tcW w:w="1704" w:type="dxa"/>
            <w:tcBorders>
              <w:top w:val="nil"/>
              <w:left w:val="nil"/>
              <w:bottom w:val="single" w:color="auto" w:sz="4" w:space="0"/>
              <w:right w:val="single" w:color="auto" w:sz="4" w:space="0"/>
            </w:tcBorders>
            <w:shd w:val="clear" w:color="auto" w:fill="auto"/>
            <w:noWrap/>
            <w:vAlign w:val="bottom"/>
          </w:tcPr>
          <w:p w14:paraId="4B44AB41">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175627.15 </w:t>
            </w:r>
          </w:p>
        </w:tc>
        <w:tc>
          <w:tcPr>
            <w:tcW w:w="1726" w:type="dxa"/>
            <w:tcBorders>
              <w:top w:val="nil"/>
              <w:left w:val="nil"/>
              <w:bottom w:val="single" w:color="auto" w:sz="4" w:space="0"/>
              <w:right w:val="single" w:color="auto" w:sz="4" w:space="0"/>
            </w:tcBorders>
            <w:shd w:val="clear" w:color="auto" w:fill="auto"/>
            <w:noWrap/>
            <w:vAlign w:val="bottom"/>
          </w:tcPr>
          <w:p w14:paraId="4727A899">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170744.56 </w:t>
            </w:r>
          </w:p>
        </w:tc>
      </w:tr>
      <w:tr w14:paraId="423AABE4">
        <w:tblPrEx>
          <w:tblCellMar>
            <w:top w:w="0" w:type="dxa"/>
            <w:left w:w="108" w:type="dxa"/>
            <w:bottom w:w="0" w:type="dxa"/>
            <w:right w:w="108" w:type="dxa"/>
          </w:tblCellMar>
        </w:tblPrEx>
        <w:trPr>
          <w:trHeight w:val="300" w:hRule="atLeast"/>
        </w:trPr>
        <w:tc>
          <w:tcPr>
            <w:tcW w:w="1451" w:type="dxa"/>
            <w:tcBorders>
              <w:top w:val="nil"/>
              <w:left w:val="single" w:color="auto" w:sz="4" w:space="0"/>
              <w:bottom w:val="single" w:color="auto" w:sz="4" w:space="0"/>
              <w:right w:val="single" w:color="auto" w:sz="4" w:space="0"/>
            </w:tcBorders>
            <w:shd w:val="clear" w:color="auto" w:fill="auto"/>
            <w:noWrap/>
            <w:vAlign w:val="bottom"/>
          </w:tcPr>
          <w:p w14:paraId="0A794DC8">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JG251M152</w:t>
            </w:r>
          </w:p>
        </w:tc>
        <w:tc>
          <w:tcPr>
            <w:tcW w:w="1779" w:type="dxa"/>
            <w:tcBorders>
              <w:top w:val="nil"/>
              <w:left w:val="nil"/>
              <w:bottom w:val="single" w:color="auto" w:sz="4" w:space="0"/>
              <w:right w:val="single" w:color="auto" w:sz="4" w:space="0"/>
            </w:tcBorders>
            <w:shd w:val="clear" w:color="auto" w:fill="auto"/>
            <w:noWrap/>
            <w:vAlign w:val="bottom"/>
          </w:tcPr>
          <w:p w14:paraId="6A8AB8FA">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152,631,000.00 </w:t>
            </w:r>
          </w:p>
        </w:tc>
        <w:tc>
          <w:tcPr>
            <w:tcW w:w="948" w:type="dxa"/>
            <w:tcBorders>
              <w:top w:val="nil"/>
              <w:left w:val="nil"/>
              <w:bottom w:val="single" w:color="auto" w:sz="4" w:space="0"/>
              <w:right w:val="single" w:color="auto" w:sz="4" w:space="0"/>
            </w:tcBorders>
            <w:shd w:val="clear" w:color="auto" w:fill="auto"/>
            <w:noWrap/>
            <w:vAlign w:val="bottom"/>
          </w:tcPr>
          <w:p w14:paraId="538BDEDE">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nil"/>
              <w:left w:val="nil"/>
              <w:bottom w:val="single" w:color="auto" w:sz="4" w:space="0"/>
              <w:right w:val="single" w:color="auto" w:sz="4" w:space="0"/>
            </w:tcBorders>
            <w:shd w:val="clear" w:color="auto" w:fill="auto"/>
            <w:noWrap/>
            <w:vAlign w:val="bottom"/>
          </w:tcPr>
          <w:p w14:paraId="23DD40D0">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1.75</w:t>
            </w:r>
          </w:p>
        </w:tc>
        <w:tc>
          <w:tcPr>
            <w:tcW w:w="1704" w:type="dxa"/>
            <w:tcBorders>
              <w:top w:val="nil"/>
              <w:left w:val="nil"/>
              <w:bottom w:val="single" w:color="auto" w:sz="4" w:space="0"/>
              <w:right w:val="single" w:color="auto" w:sz="4" w:space="0"/>
            </w:tcBorders>
            <w:shd w:val="clear" w:color="auto" w:fill="auto"/>
            <w:noWrap/>
            <w:vAlign w:val="bottom"/>
          </w:tcPr>
          <w:p w14:paraId="6AF496BD">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228151.98 </w:t>
            </w:r>
          </w:p>
        </w:tc>
        <w:tc>
          <w:tcPr>
            <w:tcW w:w="1726" w:type="dxa"/>
            <w:tcBorders>
              <w:top w:val="nil"/>
              <w:left w:val="nil"/>
              <w:bottom w:val="single" w:color="auto" w:sz="4" w:space="0"/>
              <w:right w:val="single" w:color="auto" w:sz="4" w:space="0"/>
            </w:tcBorders>
            <w:shd w:val="clear" w:color="auto" w:fill="auto"/>
            <w:noWrap/>
            <w:vAlign w:val="bottom"/>
          </w:tcPr>
          <w:p w14:paraId="3B5E4873">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220767.24 </w:t>
            </w:r>
          </w:p>
        </w:tc>
      </w:tr>
      <w:tr w14:paraId="51C4B9A8">
        <w:tblPrEx>
          <w:tblCellMar>
            <w:top w:w="0" w:type="dxa"/>
            <w:left w:w="108" w:type="dxa"/>
            <w:bottom w:w="0" w:type="dxa"/>
            <w:right w:w="108" w:type="dxa"/>
          </w:tblCellMar>
        </w:tblPrEx>
        <w:trPr>
          <w:trHeight w:val="300" w:hRule="atLeast"/>
        </w:trPr>
        <w:tc>
          <w:tcPr>
            <w:tcW w:w="1451" w:type="dxa"/>
            <w:tcBorders>
              <w:top w:val="nil"/>
              <w:left w:val="single" w:color="auto" w:sz="4" w:space="0"/>
              <w:bottom w:val="single" w:color="auto" w:sz="4" w:space="0"/>
              <w:right w:val="single" w:color="auto" w:sz="4" w:space="0"/>
            </w:tcBorders>
            <w:shd w:val="clear" w:color="auto" w:fill="auto"/>
            <w:noWrap/>
            <w:vAlign w:val="bottom"/>
          </w:tcPr>
          <w:p w14:paraId="1644A44F">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JG251Y090</w:t>
            </w:r>
          </w:p>
        </w:tc>
        <w:tc>
          <w:tcPr>
            <w:tcW w:w="1779" w:type="dxa"/>
            <w:tcBorders>
              <w:top w:val="nil"/>
              <w:left w:val="nil"/>
              <w:bottom w:val="single" w:color="auto" w:sz="4" w:space="0"/>
              <w:right w:val="single" w:color="auto" w:sz="4" w:space="0"/>
            </w:tcBorders>
            <w:shd w:val="clear" w:color="auto" w:fill="auto"/>
            <w:noWrap/>
            <w:vAlign w:val="bottom"/>
          </w:tcPr>
          <w:p w14:paraId="3D2316B3">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111,601,000.00 </w:t>
            </w:r>
          </w:p>
        </w:tc>
        <w:tc>
          <w:tcPr>
            <w:tcW w:w="948" w:type="dxa"/>
            <w:tcBorders>
              <w:top w:val="nil"/>
              <w:left w:val="nil"/>
              <w:bottom w:val="single" w:color="auto" w:sz="4" w:space="0"/>
              <w:right w:val="single" w:color="auto" w:sz="4" w:space="0"/>
            </w:tcBorders>
            <w:shd w:val="clear" w:color="auto" w:fill="auto"/>
            <w:noWrap/>
            <w:vAlign w:val="bottom"/>
          </w:tcPr>
          <w:p w14:paraId="1352F7F6">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1.6</w:t>
            </w:r>
          </w:p>
        </w:tc>
        <w:tc>
          <w:tcPr>
            <w:tcW w:w="914" w:type="dxa"/>
            <w:tcBorders>
              <w:top w:val="nil"/>
              <w:left w:val="nil"/>
              <w:bottom w:val="single" w:color="auto" w:sz="4" w:space="0"/>
              <w:right w:val="single" w:color="auto" w:sz="4" w:space="0"/>
            </w:tcBorders>
            <w:shd w:val="clear" w:color="auto" w:fill="auto"/>
            <w:noWrap/>
            <w:vAlign w:val="bottom"/>
          </w:tcPr>
          <w:p w14:paraId="0A2CC04E">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2.25</w:t>
            </w:r>
          </w:p>
        </w:tc>
        <w:tc>
          <w:tcPr>
            <w:tcW w:w="1704" w:type="dxa"/>
            <w:tcBorders>
              <w:top w:val="nil"/>
              <w:left w:val="nil"/>
              <w:bottom w:val="single" w:color="auto" w:sz="4" w:space="0"/>
              <w:right w:val="single" w:color="auto" w:sz="4" w:space="0"/>
            </w:tcBorders>
            <w:shd w:val="clear" w:color="auto" w:fill="auto"/>
            <w:noWrap/>
            <w:vAlign w:val="bottom"/>
          </w:tcPr>
          <w:p w14:paraId="5249C8F7">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2455222.00 </w:t>
            </w:r>
          </w:p>
        </w:tc>
        <w:tc>
          <w:tcPr>
            <w:tcW w:w="1726" w:type="dxa"/>
            <w:tcBorders>
              <w:top w:val="nil"/>
              <w:left w:val="nil"/>
              <w:bottom w:val="single" w:color="auto" w:sz="4" w:space="0"/>
              <w:right w:val="single" w:color="auto" w:sz="4" w:space="0"/>
            </w:tcBorders>
            <w:shd w:val="clear" w:color="auto" w:fill="auto"/>
            <w:noWrap/>
            <w:vAlign w:val="bottom"/>
          </w:tcPr>
          <w:p w14:paraId="15A25365">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2383978.01 </w:t>
            </w:r>
          </w:p>
        </w:tc>
      </w:tr>
      <w:tr w14:paraId="23D0F227">
        <w:tblPrEx>
          <w:tblCellMar>
            <w:top w:w="0" w:type="dxa"/>
            <w:left w:w="108" w:type="dxa"/>
            <w:bottom w:w="0" w:type="dxa"/>
            <w:right w:w="108" w:type="dxa"/>
          </w:tblCellMar>
        </w:tblPrEx>
        <w:trPr>
          <w:trHeight w:val="300" w:hRule="atLeast"/>
        </w:trPr>
        <w:tc>
          <w:tcPr>
            <w:tcW w:w="1451" w:type="dxa"/>
            <w:tcBorders>
              <w:top w:val="nil"/>
              <w:left w:val="single" w:color="auto" w:sz="4" w:space="0"/>
              <w:bottom w:val="single" w:color="auto" w:sz="4" w:space="0"/>
              <w:right w:val="single" w:color="auto" w:sz="4" w:space="0"/>
            </w:tcBorders>
            <w:shd w:val="clear" w:color="auto" w:fill="auto"/>
            <w:noWrap/>
            <w:vAlign w:val="bottom"/>
          </w:tcPr>
          <w:p w14:paraId="6A887E13">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JG251Y092</w:t>
            </w:r>
          </w:p>
        </w:tc>
        <w:tc>
          <w:tcPr>
            <w:tcW w:w="1779" w:type="dxa"/>
            <w:tcBorders>
              <w:top w:val="nil"/>
              <w:left w:val="nil"/>
              <w:bottom w:val="single" w:color="auto" w:sz="4" w:space="0"/>
              <w:right w:val="single" w:color="auto" w:sz="4" w:space="0"/>
            </w:tcBorders>
            <w:shd w:val="clear" w:color="auto" w:fill="auto"/>
            <w:noWrap/>
            <w:vAlign w:val="bottom"/>
          </w:tcPr>
          <w:p w14:paraId="7512FE93">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177,174,000.00 </w:t>
            </w:r>
          </w:p>
        </w:tc>
        <w:tc>
          <w:tcPr>
            <w:tcW w:w="948" w:type="dxa"/>
            <w:tcBorders>
              <w:top w:val="nil"/>
              <w:left w:val="nil"/>
              <w:bottom w:val="single" w:color="auto" w:sz="4" w:space="0"/>
              <w:right w:val="single" w:color="auto" w:sz="4" w:space="0"/>
            </w:tcBorders>
            <w:shd w:val="clear" w:color="auto" w:fill="auto"/>
            <w:noWrap/>
            <w:vAlign w:val="bottom"/>
          </w:tcPr>
          <w:p w14:paraId="1A376755">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1.6</w:t>
            </w:r>
          </w:p>
        </w:tc>
        <w:tc>
          <w:tcPr>
            <w:tcW w:w="914" w:type="dxa"/>
            <w:tcBorders>
              <w:top w:val="nil"/>
              <w:left w:val="nil"/>
              <w:bottom w:val="single" w:color="auto" w:sz="4" w:space="0"/>
              <w:right w:val="single" w:color="auto" w:sz="4" w:space="0"/>
            </w:tcBorders>
            <w:shd w:val="clear" w:color="auto" w:fill="auto"/>
            <w:noWrap/>
            <w:vAlign w:val="bottom"/>
          </w:tcPr>
          <w:p w14:paraId="39ABF66D">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2.25</w:t>
            </w:r>
          </w:p>
        </w:tc>
        <w:tc>
          <w:tcPr>
            <w:tcW w:w="1704" w:type="dxa"/>
            <w:tcBorders>
              <w:top w:val="nil"/>
              <w:left w:val="nil"/>
              <w:bottom w:val="single" w:color="auto" w:sz="4" w:space="0"/>
              <w:right w:val="single" w:color="auto" w:sz="4" w:space="0"/>
            </w:tcBorders>
            <w:shd w:val="clear" w:color="auto" w:fill="auto"/>
            <w:noWrap/>
            <w:vAlign w:val="bottom"/>
          </w:tcPr>
          <w:p w14:paraId="0A2EAF60">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3919185.96 </w:t>
            </w:r>
          </w:p>
        </w:tc>
        <w:tc>
          <w:tcPr>
            <w:tcW w:w="1726" w:type="dxa"/>
            <w:tcBorders>
              <w:top w:val="nil"/>
              <w:left w:val="nil"/>
              <w:bottom w:val="single" w:color="auto" w:sz="4" w:space="0"/>
              <w:right w:val="single" w:color="auto" w:sz="4" w:space="0"/>
            </w:tcBorders>
            <w:shd w:val="clear" w:color="auto" w:fill="auto"/>
            <w:noWrap/>
            <w:vAlign w:val="bottom"/>
          </w:tcPr>
          <w:p w14:paraId="6B6BE666">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3807655.83 </w:t>
            </w:r>
          </w:p>
        </w:tc>
      </w:tr>
      <w:tr w14:paraId="6929689E">
        <w:tblPrEx>
          <w:tblCellMar>
            <w:top w:w="0" w:type="dxa"/>
            <w:left w:w="108" w:type="dxa"/>
            <w:bottom w:w="0" w:type="dxa"/>
            <w:right w:w="108" w:type="dxa"/>
          </w:tblCellMar>
        </w:tblPrEx>
        <w:trPr>
          <w:trHeight w:val="300" w:hRule="atLeast"/>
        </w:trPr>
        <w:tc>
          <w:tcPr>
            <w:tcW w:w="1451" w:type="dxa"/>
            <w:tcBorders>
              <w:top w:val="nil"/>
              <w:left w:val="single" w:color="auto" w:sz="4" w:space="0"/>
              <w:bottom w:val="single" w:color="auto" w:sz="4" w:space="0"/>
              <w:right w:val="single" w:color="auto" w:sz="4" w:space="0"/>
            </w:tcBorders>
            <w:shd w:val="clear" w:color="auto" w:fill="auto"/>
            <w:noWrap/>
            <w:vAlign w:val="bottom"/>
          </w:tcPr>
          <w:p w14:paraId="57A9757B">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JG251Y094</w:t>
            </w:r>
          </w:p>
        </w:tc>
        <w:tc>
          <w:tcPr>
            <w:tcW w:w="1779" w:type="dxa"/>
            <w:tcBorders>
              <w:top w:val="nil"/>
              <w:left w:val="nil"/>
              <w:bottom w:val="single" w:color="auto" w:sz="4" w:space="0"/>
              <w:right w:val="single" w:color="auto" w:sz="4" w:space="0"/>
            </w:tcBorders>
            <w:shd w:val="clear" w:color="auto" w:fill="auto"/>
            <w:noWrap/>
            <w:vAlign w:val="bottom"/>
          </w:tcPr>
          <w:p w14:paraId="77451AE0">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129,400,000.00 </w:t>
            </w:r>
          </w:p>
        </w:tc>
        <w:tc>
          <w:tcPr>
            <w:tcW w:w="948" w:type="dxa"/>
            <w:tcBorders>
              <w:top w:val="nil"/>
              <w:left w:val="nil"/>
              <w:bottom w:val="single" w:color="auto" w:sz="4" w:space="0"/>
              <w:right w:val="single" w:color="auto" w:sz="4" w:space="0"/>
            </w:tcBorders>
            <w:shd w:val="clear" w:color="auto" w:fill="auto"/>
            <w:noWrap/>
            <w:vAlign w:val="bottom"/>
          </w:tcPr>
          <w:p w14:paraId="7F9AB34F">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1.6</w:t>
            </w:r>
          </w:p>
        </w:tc>
        <w:tc>
          <w:tcPr>
            <w:tcW w:w="914" w:type="dxa"/>
            <w:tcBorders>
              <w:top w:val="nil"/>
              <w:left w:val="nil"/>
              <w:bottom w:val="single" w:color="auto" w:sz="4" w:space="0"/>
              <w:right w:val="single" w:color="auto" w:sz="4" w:space="0"/>
            </w:tcBorders>
            <w:shd w:val="clear" w:color="auto" w:fill="auto"/>
            <w:noWrap/>
            <w:vAlign w:val="bottom"/>
          </w:tcPr>
          <w:p w14:paraId="7FBB0E04">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2.25</w:t>
            </w:r>
          </w:p>
        </w:tc>
        <w:tc>
          <w:tcPr>
            <w:tcW w:w="1704" w:type="dxa"/>
            <w:tcBorders>
              <w:top w:val="nil"/>
              <w:left w:val="nil"/>
              <w:bottom w:val="single" w:color="auto" w:sz="4" w:space="0"/>
              <w:right w:val="single" w:color="auto" w:sz="4" w:space="0"/>
            </w:tcBorders>
            <w:shd w:val="clear" w:color="auto" w:fill="auto"/>
            <w:noWrap/>
            <w:vAlign w:val="bottom"/>
          </w:tcPr>
          <w:p w14:paraId="46D8331D">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2846800.00 </w:t>
            </w:r>
          </w:p>
        </w:tc>
        <w:tc>
          <w:tcPr>
            <w:tcW w:w="1726" w:type="dxa"/>
            <w:tcBorders>
              <w:top w:val="nil"/>
              <w:left w:val="nil"/>
              <w:bottom w:val="single" w:color="auto" w:sz="4" w:space="0"/>
              <w:right w:val="single" w:color="auto" w:sz="4" w:space="0"/>
            </w:tcBorders>
            <w:shd w:val="clear" w:color="auto" w:fill="auto"/>
            <w:noWrap/>
            <w:vAlign w:val="bottom"/>
          </w:tcPr>
          <w:p w14:paraId="6157189A">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2764090.47 </w:t>
            </w:r>
          </w:p>
        </w:tc>
      </w:tr>
      <w:tr w14:paraId="319354D8">
        <w:tblPrEx>
          <w:tblCellMar>
            <w:top w:w="0" w:type="dxa"/>
            <w:left w:w="108" w:type="dxa"/>
            <w:bottom w:w="0" w:type="dxa"/>
            <w:right w:w="108" w:type="dxa"/>
          </w:tblCellMar>
        </w:tblPrEx>
        <w:trPr>
          <w:trHeight w:val="300" w:hRule="atLeast"/>
        </w:trPr>
        <w:tc>
          <w:tcPr>
            <w:tcW w:w="1451" w:type="dxa"/>
            <w:tcBorders>
              <w:top w:val="nil"/>
              <w:left w:val="single" w:color="auto" w:sz="4" w:space="0"/>
              <w:bottom w:val="single" w:color="auto" w:sz="4" w:space="0"/>
              <w:right w:val="single" w:color="auto" w:sz="4" w:space="0"/>
            </w:tcBorders>
            <w:shd w:val="clear" w:color="auto" w:fill="auto"/>
            <w:noWrap/>
            <w:vAlign w:val="bottom"/>
          </w:tcPr>
          <w:p w14:paraId="6DD0AE6B">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JG251Y096</w:t>
            </w:r>
          </w:p>
        </w:tc>
        <w:tc>
          <w:tcPr>
            <w:tcW w:w="1779" w:type="dxa"/>
            <w:tcBorders>
              <w:top w:val="nil"/>
              <w:left w:val="nil"/>
              <w:bottom w:val="single" w:color="auto" w:sz="4" w:space="0"/>
              <w:right w:val="single" w:color="auto" w:sz="4" w:space="0"/>
            </w:tcBorders>
            <w:shd w:val="clear" w:color="auto" w:fill="auto"/>
            <w:noWrap/>
            <w:vAlign w:val="bottom"/>
          </w:tcPr>
          <w:p w14:paraId="09161FEC">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99,799,000.00 </w:t>
            </w:r>
          </w:p>
        </w:tc>
        <w:tc>
          <w:tcPr>
            <w:tcW w:w="948" w:type="dxa"/>
            <w:tcBorders>
              <w:top w:val="nil"/>
              <w:left w:val="nil"/>
              <w:bottom w:val="single" w:color="auto" w:sz="4" w:space="0"/>
              <w:right w:val="single" w:color="auto" w:sz="4" w:space="0"/>
            </w:tcBorders>
            <w:shd w:val="clear" w:color="auto" w:fill="auto"/>
            <w:noWrap/>
            <w:vAlign w:val="bottom"/>
          </w:tcPr>
          <w:p w14:paraId="61A81CA0">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1.6</w:t>
            </w:r>
          </w:p>
        </w:tc>
        <w:tc>
          <w:tcPr>
            <w:tcW w:w="914" w:type="dxa"/>
            <w:tcBorders>
              <w:top w:val="nil"/>
              <w:left w:val="nil"/>
              <w:bottom w:val="single" w:color="auto" w:sz="4" w:space="0"/>
              <w:right w:val="single" w:color="auto" w:sz="4" w:space="0"/>
            </w:tcBorders>
            <w:shd w:val="clear" w:color="auto" w:fill="auto"/>
            <w:noWrap/>
            <w:vAlign w:val="bottom"/>
          </w:tcPr>
          <w:p w14:paraId="760B2C24">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2.25</w:t>
            </w:r>
          </w:p>
        </w:tc>
        <w:tc>
          <w:tcPr>
            <w:tcW w:w="1704" w:type="dxa"/>
            <w:tcBorders>
              <w:top w:val="nil"/>
              <w:left w:val="nil"/>
              <w:bottom w:val="single" w:color="auto" w:sz="4" w:space="0"/>
              <w:right w:val="single" w:color="auto" w:sz="4" w:space="0"/>
            </w:tcBorders>
            <w:shd w:val="clear" w:color="auto" w:fill="auto"/>
            <w:noWrap/>
            <w:vAlign w:val="bottom"/>
          </w:tcPr>
          <w:p w14:paraId="0E6D2C94">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2189562.72 </w:t>
            </w:r>
          </w:p>
        </w:tc>
        <w:tc>
          <w:tcPr>
            <w:tcW w:w="1726" w:type="dxa"/>
            <w:tcBorders>
              <w:top w:val="nil"/>
              <w:left w:val="nil"/>
              <w:bottom w:val="single" w:color="auto" w:sz="4" w:space="0"/>
              <w:right w:val="single" w:color="auto" w:sz="4" w:space="0"/>
            </w:tcBorders>
            <w:shd w:val="clear" w:color="auto" w:fill="auto"/>
            <w:noWrap/>
            <w:vAlign w:val="bottom"/>
          </w:tcPr>
          <w:p w14:paraId="3DA4880D">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2124860.50 </w:t>
            </w:r>
          </w:p>
        </w:tc>
      </w:tr>
      <w:tr w14:paraId="13789E4A">
        <w:tblPrEx>
          <w:tblCellMar>
            <w:top w:w="0" w:type="dxa"/>
            <w:left w:w="108" w:type="dxa"/>
            <w:bottom w:w="0" w:type="dxa"/>
            <w:right w:w="108" w:type="dxa"/>
          </w:tblCellMar>
        </w:tblPrEx>
        <w:trPr>
          <w:trHeight w:val="300" w:hRule="atLeast"/>
        </w:trPr>
        <w:tc>
          <w:tcPr>
            <w:tcW w:w="1451" w:type="dxa"/>
            <w:tcBorders>
              <w:top w:val="nil"/>
              <w:left w:val="single" w:color="auto" w:sz="4" w:space="0"/>
              <w:bottom w:val="single" w:color="auto" w:sz="4" w:space="0"/>
              <w:right w:val="single" w:color="auto" w:sz="4" w:space="0"/>
            </w:tcBorders>
            <w:shd w:val="clear" w:color="auto" w:fill="auto"/>
            <w:noWrap/>
            <w:vAlign w:val="bottom"/>
          </w:tcPr>
          <w:p w14:paraId="3A3A82EF">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JG251Y100</w:t>
            </w:r>
          </w:p>
        </w:tc>
        <w:tc>
          <w:tcPr>
            <w:tcW w:w="1779" w:type="dxa"/>
            <w:tcBorders>
              <w:top w:val="nil"/>
              <w:left w:val="nil"/>
              <w:bottom w:val="single" w:color="auto" w:sz="4" w:space="0"/>
              <w:right w:val="single" w:color="auto" w:sz="4" w:space="0"/>
            </w:tcBorders>
            <w:shd w:val="clear" w:color="auto" w:fill="auto"/>
            <w:noWrap/>
            <w:vAlign w:val="bottom"/>
          </w:tcPr>
          <w:p w14:paraId="7DC2F168">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156,168,000.00 </w:t>
            </w:r>
          </w:p>
        </w:tc>
        <w:tc>
          <w:tcPr>
            <w:tcW w:w="948" w:type="dxa"/>
            <w:tcBorders>
              <w:top w:val="nil"/>
              <w:left w:val="nil"/>
              <w:bottom w:val="single" w:color="auto" w:sz="4" w:space="0"/>
              <w:right w:val="single" w:color="auto" w:sz="4" w:space="0"/>
            </w:tcBorders>
            <w:shd w:val="clear" w:color="auto" w:fill="auto"/>
            <w:noWrap/>
            <w:vAlign w:val="bottom"/>
          </w:tcPr>
          <w:p w14:paraId="284C54D2">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1.6</w:t>
            </w:r>
          </w:p>
        </w:tc>
        <w:tc>
          <w:tcPr>
            <w:tcW w:w="914" w:type="dxa"/>
            <w:tcBorders>
              <w:top w:val="nil"/>
              <w:left w:val="nil"/>
              <w:bottom w:val="single" w:color="auto" w:sz="4" w:space="0"/>
              <w:right w:val="single" w:color="auto" w:sz="4" w:space="0"/>
            </w:tcBorders>
            <w:shd w:val="clear" w:color="auto" w:fill="auto"/>
            <w:noWrap/>
            <w:vAlign w:val="bottom"/>
          </w:tcPr>
          <w:p w14:paraId="564A04D2">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2.25</w:t>
            </w:r>
          </w:p>
        </w:tc>
        <w:tc>
          <w:tcPr>
            <w:tcW w:w="1704" w:type="dxa"/>
            <w:tcBorders>
              <w:top w:val="nil"/>
              <w:left w:val="nil"/>
              <w:bottom w:val="single" w:color="auto" w:sz="4" w:space="0"/>
              <w:right w:val="single" w:color="auto" w:sz="4" w:space="0"/>
            </w:tcBorders>
            <w:shd w:val="clear" w:color="auto" w:fill="auto"/>
            <w:noWrap/>
            <w:vAlign w:val="bottom"/>
          </w:tcPr>
          <w:p w14:paraId="028FD72C">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3435696.00 </w:t>
            </w:r>
          </w:p>
        </w:tc>
        <w:tc>
          <w:tcPr>
            <w:tcW w:w="1726" w:type="dxa"/>
            <w:tcBorders>
              <w:top w:val="nil"/>
              <w:left w:val="nil"/>
              <w:bottom w:val="single" w:color="auto" w:sz="4" w:space="0"/>
              <w:right w:val="single" w:color="auto" w:sz="4" w:space="0"/>
            </w:tcBorders>
            <w:shd w:val="clear" w:color="auto" w:fill="auto"/>
            <w:noWrap/>
            <w:vAlign w:val="bottom"/>
          </w:tcPr>
          <w:p w14:paraId="743A25A3">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3456577.73 </w:t>
            </w:r>
          </w:p>
        </w:tc>
      </w:tr>
      <w:tr w14:paraId="4A1BA1F1">
        <w:tblPrEx>
          <w:tblCellMar>
            <w:top w:w="0" w:type="dxa"/>
            <w:left w:w="108" w:type="dxa"/>
            <w:bottom w:w="0" w:type="dxa"/>
            <w:right w:w="108" w:type="dxa"/>
          </w:tblCellMar>
        </w:tblPrEx>
        <w:trPr>
          <w:trHeight w:val="300" w:hRule="atLeast"/>
        </w:trPr>
        <w:tc>
          <w:tcPr>
            <w:tcW w:w="1451" w:type="dxa"/>
            <w:tcBorders>
              <w:top w:val="nil"/>
              <w:left w:val="single" w:color="auto" w:sz="4" w:space="0"/>
              <w:bottom w:val="single" w:color="auto" w:sz="4" w:space="0"/>
              <w:right w:val="single" w:color="auto" w:sz="4" w:space="0"/>
            </w:tcBorders>
            <w:shd w:val="clear" w:color="auto" w:fill="auto"/>
            <w:noWrap/>
            <w:vAlign w:val="bottom"/>
          </w:tcPr>
          <w:p w14:paraId="25CC62E0">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JG251Y103</w:t>
            </w:r>
          </w:p>
        </w:tc>
        <w:tc>
          <w:tcPr>
            <w:tcW w:w="1779" w:type="dxa"/>
            <w:tcBorders>
              <w:top w:val="nil"/>
              <w:left w:val="nil"/>
              <w:bottom w:val="single" w:color="auto" w:sz="4" w:space="0"/>
              <w:right w:val="single" w:color="auto" w:sz="4" w:space="0"/>
            </w:tcBorders>
            <w:shd w:val="clear" w:color="auto" w:fill="auto"/>
            <w:noWrap/>
            <w:vAlign w:val="bottom"/>
          </w:tcPr>
          <w:p w14:paraId="47CE696E">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114,096,000.00 </w:t>
            </w:r>
          </w:p>
        </w:tc>
        <w:tc>
          <w:tcPr>
            <w:tcW w:w="948" w:type="dxa"/>
            <w:tcBorders>
              <w:top w:val="nil"/>
              <w:left w:val="nil"/>
              <w:bottom w:val="single" w:color="auto" w:sz="4" w:space="0"/>
              <w:right w:val="single" w:color="auto" w:sz="4" w:space="0"/>
            </w:tcBorders>
            <w:shd w:val="clear" w:color="auto" w:fill="auto"/>
            <w:noWrap/>
            <w:vAlign w:val="bottom"/>
          </w:tcPr>
          <w:p w14:paraId="16FCB481">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1.5</w:t>
            </w:r>
          </w:p>
        </w:tc>
        <w:tc>
          <w:tcPr>
            <w:tcW w:w="914" w:type="dxa"/>
            <w:tcBorders>
              <w:top w:val="nil"/>
              <w:left w:val="nil"/>
              <w:bottom w:val="single" w:color="auto" w:sz="4" w:space="0"/>
              <w:right w:val="single" w:color="auto" w:sz="4" w:space="0"/>
            </w:tcBorders>
            <w:shd w:val="clear" w:color="auto" w:fill="auto"/>
            <w:noWrap/>
            <w:vAlign w:val="bottom"/>
          </w:tcPr>
          <w:p w14:paraId="171C9D91">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2.23</w:t>
            </w:r>
          </w:p>
        </w:tc>
        <w:tc>
          <w:tcPr>
            <w:tcW w:w="1704" w:type="dxa"/>
            <w:tcBorders>
              <w:top w:val="nil"/>
              <w:left w:val="nil"/>
              <w:bottom w:val="single" w:color="auto" w:sz="4" w:space="0"/>
              <w:right w:val="single" w:color="auto" w:sz="4" w:space="0"/>
            </w:tcBorders>
            <w:shd w:val="clear" w:color="auto" w:fill="auto"/>
            <w:noWrap/>
            <w:vAlign w:val="bottom"/>
          </w:tcPr>
          <w:p w14:paraId="16BFAC8A">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2487292.80 </w:t>
            </w:r>
          </w:p>
        </w:tc>
        <w:tc>
          <w:tcPr>
            <w:tcW w:w="1726" w:type="dxa"/>
            <w:tcBorders>
              <w:top w:val="nil"/>
              <w:left w:val="nil"/>
              <w:bottom w:val="single" w:color="auto" w:sz="4" w:space="0"/>
              <w:right w:val="single" w:color="auto" w:sz="4" w:space="0"/>
            </w:tcBorders>
            <w:shd w:val="clear" w:color="auto" w:fill="auto"/>
            <w:noWrap/>
            <w:vAlign w:val="bottom"/>
          </w:tcPr>
          <w:p w14:paraId="3CFE89A2">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2502363.28 </w:t>
            </w:r>
          </w:p>
        </w:tc>
      </w:tr>
      <w:tr w14:paraId="0630A68B">
        <w:tblPrEx>
          <w:tblCellMar>
            <w:top w:w="0" w:type="dxa"/>
            <w:left w:w="108" w:type="dxa"/>
            <w:bottom w:w="0" w:type="dxa"/>
            <w:right w:w="108" w:type="dxa"/>
          </w:tblCellMar>
        </w:tblPrEx>
        <w:trPr>
          <w:trHeight w:val="300" w:hRule="atLeast"/>
        </w:trPr>
        <w:tc>
          <w:tcPr>
            <w:tcW w:w="1451" w:type="dxa"/>
            <w:tcBorders>
              <w:top w:val="nil"/>
              <w:left w:val="single" w:color="auto" w:sz="4" w:space="0"/>
              <w:bottom w:val="single" w:color="auto" w:sz="4" w:space="0"/>
              <w:right w:val="single" w:color="auto" w:sz="4" w:space="0"/>
            </w:tcBorders>
            <w:shd w:val="clear" w:color="auto" w:fill="auto"/>
            <w:noWrap/>
            <w:vAlign w:val="bottom"/>
          </w:tcPr>
          <w:p w14:paraId="42E5E8B9">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JG251Y106</w:t>
            </w:r>
          </w:p>
        </w:tc>
        <w:tc>
          <w:tcPr>
            <w:tcW w:w="1779" w:type="dxa"/>
            <w:tcBorders>
              <w:top w:val="nil"/>
              <w:left w:val="nil"/>
              <w:bottom w:val="single" w:color="auto" w:sz="4" w:space="0"/>
              <w:right w:val="single" w:color="auto" w:sz="4" w:space="0"/>
            </w:tcBorders>
            <w:shd w:val="clear" w:color="auto" w:fill="auto"/>
            <w:noWrap/>
            <w:vAlign w:val="bottom"/>
          </w:tcPr>
          <w:p w14:paraId="457644B1">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99,536,000.00 </w:t>
            </w:r>
          </w:p>
        </w:tc>
        <w:tc>
          <w:tcPr>
            <w:tcW w:w="948" w:type="dxa"/>
            <w:tcBorders>
              <w:top w:val="nil"/>
              <w:left w:val="nil"/>
              <w:bottom w:val="single" w:color="auto" w:sz="4" w:space="0"/>
              <w:right w:val="single" w:color="auto" w:sz="4" w:space="0"/>
            </w:tcBorders>
            <w:shd w:val="clear" w:color="auto" w:fill="auto"/>
            <w:noWrap/>
            <w:vAlign w:val="bottom"/>
          </w:tcPr>
          <w:p w14:paraId="798098D9">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1.5</w:t>
            </w:r>
          </w:p>
        </w:tc>
        <w:tc>
          <w:tcPr>
            <w:tcW w:w="914" w:type="dxa"/>
            <w:tcBorders>
              <w:top w:val="nil"/>
              <w:left w:val="nil"/>
              <w:bottom w:val="single" w:color="auto" w:sz="4" w:space="0"/>
              <w:right w:val="single" w:color="auto" w:sz="4" w:space="0"/>
            </w:tcBorders>
            <w:shd w:val="clear" w:color="auto" w:fill="auto"/>
            <w:noWrap/>
            <w:vAlign w:val="bottom"/>
          </w:tcPr>
          <w:p w14:paraId="56E7D76D">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2.15</w:t>
            </w:r>
          </w:p>
        </w:tc>
        <w:tc>
          <w:tcPr>
            <w:tcW w:w="1704" w:type="dxa"/>
            <w:tcBorders>
              <w:top w:val="nil"/>
              <w:left w:val="nil"/>
              <w:bottom w:val="single" w:color="auto" w:sz="4" w:space="0"/>
              <w:right w:val="single" w:color="auto" w:sz="4" w:space="0"/>
            </w:tcBorders>
            <w:shd w:val="clear" w:color="auto" w:fill="auto"/>
            <w:noWrap/>
            <w:vAlign w:val="bottom"/>
          </w:tcPr>
          <w:p w14:paraId="7E590038">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2090256.00 </w:t>
            </w:r>
          </w:p>
        </w:tc>
        <w:tc>
          <w:tcPr>
            <w:tcW w:w="1726" w:type="dxa"/>
            <w:tcBorders>
              <w:top w:val="nil"/>
              <w:left w:val="nil"/>
              <w:bottom w:val="single" w:color="auto" w:sz="4" w:space="0"/>
              <w:right w:val="single" w:color="auto" w:sz="4" w:space="0"/>
            </w:tcBorders>
            <w:shd w:val="clear" w:color="auto" w:fill="auto"/>
            <w:noWrap/>
            <w:vAlign w:val="bottom"/>
          </w:tcPr>
          <w:p w14:paraId="172C1D62">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2104816.41 </w:t>
            </w:r>
          </w:p>
        </w:tc>
      </w:tr>
      <w:tr w14:paraId="6FE04B56">
        <w:tblPrEx>
          <w:tblCellMar>
            <w:top w:w="0" w:type="dxa"/>
            <w:left w:w="108" w:type="dxa"/>
            <w:bottom w:w="0" w:type="dxa"/>
            <w:right w:w="108" w:type="dxa"/>
          </w:tblCellMar>
        </w:tblPrEx>
        <w:trPr>
          <w:trHeight w:val="300" w:hRule="atLeast"/>
        </w:trPr>
        <w:tc>
          <w:tcPr>
            <w:tcW w:w="1451" w:type="dxa"/>
            <w:tcBorders>
              <w:top w:val="nil"/>
              <w:left w:val="single" w:color="auto" w:sz="4" w:space="0"/>
              <w:bottom w:val="single" w:color="auto" w:sz="4" w:space="0"/>
              <w:right w:val="single" w:color="auto" w:sz="4" w:space="0"/>
            </w:tcBorders>
            <w:shd w:val="clear" w:color="auto" w:fill="auto"/>
            <w:noWrap/>
            <w:vAlign w:val="bottom"/>
          </w:tcPr>
          <w:p w14:paraId="27A7666C">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JG251Y110</w:t>
            </w:r>
          </w:p>
        </w:tc>
        <w:tc>
          <w:tcPr>
            <w:tcW w:w="1779" w:type="dxa"/>
            <w:tcBorders>
              <w:top w:val="nil"/>
              <w:left w:val="nil"/>
              <w:bottom w:val="single" w:color="auto" w:sz="4" w:space="0"/>
              <w:right w:val="single" w:color="auto" w:sz="4" w:space="0"/>
            </w:tcBorders>
            <w:shd w:val="clear" w:color="auto" w:fill="auto"/>
            <w:noWrap/>
            <w:vAlign w:val="bottom"/>
          </w:tcPr>
          <w:p w14:paraId="2CE82DC3">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254,878,000.00 </w:t>
            </w:r>
          </w:p>
        </w:tc>
        <w:tc>
          <w:tcPr>
            <w:tcW w:w="948" w:type="dxa"/>
            <w:tcBorders>
              <w:top w:val="nil"/>
              <w:left w:val="nil"/>
              <w:bottom w:val="single" w:color="auto" w:sz="4" w:space="0"/>
              <w:right w:val="single" w:color="auto" w:sz="4" w:space="0"/>
            </w:tcBorders>
            <w:shd w:val="clear" w:color="auto" w:fill="auto"/>
            <w:noWrap/>
            <w:vAlign w:val="bottom"/>
          </w:tcPr>
          <w:p w14:paraId="2822D91D">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1.5</w:t>
            </w:r>
          </w:p>
        </w:tc>
        <w:tc>
          <w:tcPr>
            <w:tcW w:w="914" w:type="dxa"/>
            <w:tcBorders>
              <w:top w:val="nil"/>
              <w:left w:val="nil"/>
              <w:bottom w:val="single" w:color="auto" w:sz="4" w:space="0"/>
              <w:right w:val="single" w:color="auto" w:sz="4" w:space="0"/>
            </w:tcBorders>
            <w:shd w:val="clear" w:color="auto" w:fill="auto"/>
            <w:noWrap/>
            <w:vAlign w:val="bottom"/>
          </w:tcPr>
          <w:p w14:paraId="791A9491">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2.15</w:t>
            </w:r>
          </w:p>
        </w:tc>
        <w:tc>
          <w:tcPr>
            <w:tcW w:w="1704" w:type="dxa"/>
            <w:tcBorders>
              <w:top w:val="nil"/>
              <w:left w:val="nil"/>
              <w:bottom w:val="single" w:color="auto" w:sz="4" w:space="0"/>
              <w:right w:val="single" w:color="auto" w:sz="4" w:space="0"/>
            </w:tcBorders>
            <w:shd w:val="clear" w:color="auto" w:fill="auto"/>
            <w:noWrap/>
            <w:vAlign w:val="bottom"/>
          </w:tcPr>
          <w:p w14:paraId="5767DE74">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5352438.00 </w:t>
            </w:r>
          </w:p>
        </w:tc>
        <w:tc>
          <w:tcPr>
            <w:tcW w:w="1726" w:type="dxa"/>
            <w:tcBorders>
              <w:top w:val="nil"/>
              <w:left w:val="nil"/>
              <w:bottom w:val="single" w:color="auto" w:sz="4" w:space="0"/>
              <w:right w:val="single" w:color="auto" w:sz="4" w:space="0"/>
            </w:tcBorders>
            <w:shd w:val="clear" w:color="auto" w:fill="auto"/>
            <w:noWrap/>
            <w:vAlign w:val="bottom"/>
          </w:tcPr>
          <w:p w14:paraId="3A5B0085">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5370589.65 </w:t>
            </w:r>
          </w:p>
        </w:tc>
      </w:tr>
      <w:tr w14:paraId="081B8BC9">
        <w:tblPrEx>
          <w:tblCellMar>
            <w:top w:w="0" w:type="dxa"/>
            <w:left w:w="108" w:type="dxa"/>
            <w:bottom w:w="0" w:type="dxa"/>
            <w:right w:w="108" w:type="dxa"/>
          </w:tblCellMar>
        </w:tblPrEx>
        <w:trPr>
          <w:trHeight w:val="300" w:hRule="atLeast"/>
        </w:trPr>
        <w:tc>
          <w:tcPr>
            <w:tcW w:w="1451" w:type="dxa"/>
            <w:tcBorders>
              <w:top w:val="nil"/>
              <w:left w:val="single" w:color="auto" w:sz="4" w:space="0"/>
              <w:bottom w:val="single" w:color="auto" w:sz="4" w:space="0"/>
              <w:right w:val="single" w:color="auto" w:sz="4" w:space="0"/>
            </w:tcBorders>
            <w:shd w:val="clear" w:color="auto" w:fill="auto"/>
            <w:noWrap/>
            <w:vAlign w:val="bottom"/>
          </w:tcPr>
          <w:p w14:paraId="56D2AB1C">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JG251Y113</w:t>
            </w:r>
          </w:p>
        </w:tc>
        <w:tc>
          <w:tcPr>
            <w:tcW w:w="1779" w:type="dxa"/>
            <w:tcBorders>
              <w:top w:val="nil"/>
              <w:left w:val="nil"/>
              <w:bottom w:val="single" w:color="auto" w:sz="4" w:space="0"/>
              <w:right w:val="single" w:color="auto" w:sz="4" w:space="0"/>
            </w:tcBorders>
            <w:shd w:val="clear" w:color="auto" w:fill="auto"/>
            <w:noWrap/>
            <w:vAlign w:val="bottom"/>
          </w:tcPr>
          <w:p w14:paraId="4AE5CC34">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65,720,000.00 </w:t>
            </w:r>
          </w:p>
        </w:tc>
        <w:tc>
          <w:tcPr>
            <w:tcW w:w="948" w:type="dxa"/>
            <w:tcBorders>
              <w:top w:val="nil"/>
              <w:left w:val="nil"/>
              <w:bottom w:val="single" w:color="auto" w:sz="4" w:space="0"/>
              <w:right w:val="single" w:color="auto" w:sz="4" w:space="0"/>
            </w:tcBorders>
            <w:shd w:val="clear" w:color="auto" w:fill="auto"/>
            <w:noWrap/>
            <w:vAlign w:val="bottom"/>
          </w:tcPr>
          <w:p w14:paraId="2EAF2017">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1.5</w:t>
            </w:r>
          </w:p>
        </w:tc>
        <w:tc>
          <w:tcPr>
            <w:tcW w:w="914" w:type="dxa"/>
            <w:tcBorders>
              <w:top w:val="nil"/>
              <w:left w:val="nil"/>
              <w:bottom w:val="single" w:color="auto" w:sz="4" w:space="0"/>
              <w:right w:val="single" w:color="auto" w:sz="4" w:space="0"/>
            </w:tcBorders>
            <w:shd w:val="clear" w:color="auto" w:fill="auto"/>
            <w:noWrap/>
            <w:vAlign w:val="bottom"/>
          </w:tcPr>
          <w:p w14:paraId="48B6A699">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2.05</w:t>
            </w:r>
          </w:p>
        </w:tc>
        <w:tc>
          <w:tcPr>
            <w:tcW w:w="1704" w:type="dxa"/>
            <w:tcBorders>
              <w:top w:val="nil"/>
              <w:left w:val="nil"/>
              <w:bottom w:val="single" w:color="auto" w:sz="4" w:space="0"/>
              <w:right w:val="single" w:color="auto" w:sz="4" w:space="0"/>
            </w:tcBorders>
            <w:shd w:val="clear" w:color="auto" w:fill="auto"/>
            <w:noWrap/>
            <w:vAlign w:val="bottom"/>
          </w:tcPr>
          <w:p w14:paraId="3BBD40E6">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1314400.00 </w:t>
            </w:r>
          </w:p>
        </w:tc>
        <w:tc>
          <w:tcPr>
            <w:tcW w:w="1726" w:type="dxa"/>
            <w:tcBorders>
              <w:top w:val="nil"/>
              <w:left w:val="nil"/>
              <w:bottom w:val="single" w:color="auto" w:sz="4" w:space="0"/>
              <w:right w:val="single" w:color="auto" w:sz="4" w:space="0"/>
            </w:tcBorders>
            <w:shd w:val="clear" w:color="auto" w:fill="auto"/>
            <w:noWrap/>
            <w:vAlign w:val="bottom"/>
          </w:tcPr>
          <w:p w14:paraId="799ACAA5">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1312680.07 </w:t>
            </w:r>
          </w:p>
        </w:tc>
      </w:tr>
      <w:tr w14:paraId="3272CFE8">
        <w:tblPrEx>
          <w:tblCellMar>
            <w:top w:w="0" w:type="dxa"/>
            <w:left w:w="108" w:type="dxa"/>
            <w:bottom w:w="0" w:type="dxa"/>
            <w:right w:w="108" w:type="dxa"/>
          </w:tblCellMar>
        </w:tblPrEx>
        <w:trPr>
          <w:trHeight w:val="270" w:hRule="atLeast"/>
        </w:trPr>
        <w:tc>
          <w:tcPr>
            <w:tcW w:w="1451" w:type="dxa"/>
            <w:tcBorders>
              <w:top w:val="nil"/>
              <w:left w:val="single" w:color="auto" w:sz="4" w:space="0"/>
              <w:bottom w:val="single" w:color="auto" w:sz="4" w:space="0"/>
              <w:right w:val="single" w:color="auto" w:sz="4" w:space="0"/>
            </w:tcBorders>
            <w:shd w:val="clear" w:color="auto" w:fill="auto"/>
            <w:noWrap/>
            <w:vAlign w:val="bottom"/>
          </w:tcPr>
          <w:p w14:paraId="517A65DA">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JG251Y115</w:t>
            </w:r>
          </w:p>
        </w:tc>
        <w:tc>
          <w:tcPr>
            <w:tcW w:w="1779" w:type="dxa"/>
            <w:tcBorders>
              <w:top w:val="nil"/>
              <w:left w:val="nil"/>
              <w:bottom w:val="single" w:color="auto" w:sz="4" w:space="0"/>
              <w:right w:val="single" w:color="auto" w:sz="4" w:space="0"/>
            </w:tcBorders>
            <w:shd w:val="clear" w:color="auto" w:fill="auto"/>
            <w:noWrap/>
            <w:vAlign w:val="bottom"/>
          </w:tcPr>
          <w:p w14:paraId="70141895">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147,079,000.00 </w:t>
            </w:r>
          </w:p>
        </w:tc>
        <w:tc>
          <w:tcPr>
            <w:tcW w:w="948" w:type="dxa"/>
            <w:tcBorders>
              <w:top w:val="nil"/>
              <w:left w:val="nil"/>
              <w:bottom w:val="single" w:color="auto" w:sz="4" w:space="0"/>
              <w:right w:val="single" w:color="auto" w:sz="4" w:space="0"/>
            </w:tcBorders>
            <w:shd w:val="clear" w:color="auto" w:fill="auto"/>
            <w:noWrap/>
            <w:vAlign w:val="bottom"/>
          </w:tcPr>
          <w:p w14:paraId="6C7E052C">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1.5</w:t>
            </w:r>
          </w:p>
        </w:tc>
        <w:tc>
          <w:tcPr>
            <w:tcW w:w="914" w:type="dxa"/>
            <w:tcBorders>
              <w:top w:val="nil"/>
              <w:left w:val="nil"/>
              <w:bottom w:val="single" w:color="auto" w:sz="4" w:space="0"/>
              <w:right w:val="single" w:color="auto" w:sz="4" w:space="0"/>
            </w:tcBorders>
            <w:shd w:val="clear" w:color="auto" w:fill="auto"/>
            <w:noWrap/>
            <w:vAlign w:val="bottom"/>
          </w:tcPr>
          <w:p w14:paraId="34F5FD85">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w:t>
            </w:r>
          </w:p>
        </w:tc>
        <w:tc>
          <w:tcPr>
            <w:tcW w:w="1704" w:type="dxa"/>
            <w:tcBorders>
              <w:top w:val="nil"/>
              <w:left w:val="nil"/>
              <w:bottom w:val="single" w:color="auto" w:sz="4" w:space="0"/>
              <w:right w:val="single" w:color="auto" w:sz="4" w:space="0"/>
            </w:tcBorders>
            <w:shd w:val="clear" w:color="auto" w:fill="auto"/>
            <w:noWrap/>
            <w:vAlign w:val="bottom"/>
          </w:tcPr>
          <w:p w14:paraId="57DFE29E">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2860182.85 </w:t>
            </w:r>
          </w:p>
        </w:tc>
        <w:tc>
          <w:tcPr>
            <w:tcW w:w="1726" w:type="dxa"/>
            <w:tcBorders>
              <w:top w:val="nil"/>
              <w:left w:val="nil"/>
              <w:bottom w:val="single" w:color="auto" w:sz="4" w:space="0"/>
              <w:right w:val="single" w:color="auto" w:sz="4" w:space="0"/>
            </w:tcBorders>
            <w:shd w:val="clear" w:color="auto" w:fill="auto"/>
            <w:noWrap/>
            <w:vAlign w:val="bottom"/>
          </w:tcPr>
          <w:p w14:paraId="7A968D77">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2853260.42 </w:t>
            </w:r>
          </w:p>
        </w:tc>
      </w:tr>
      <w:tr w14:paraId="357F39A4">
        <w:tblPrEx>
          <w:tblCellMar>
            <w:top w:w="0" w:type="dxa"/>
            <w:left w:w="108" w:type="dxa"/>
            <w:bottom w:w="0" w:type="dxa"/>
            <w:right w:w="108" w:type="dxa"/>
          </w:tblCellMar>
        </w:tblPrEx>
        <w:trPr>
          <w:trHeight w:val="270" w:hRule="atLeast"/>
        </w:trPr>
        <w:tc>
          <w:tcPr>
            <w:tcW w:w="1451" w:type="dxa"/>
            <w:tcBorders>
              <w:top w:val="nil"/>
              <w:left w:val="single" w:color="auto" w:sz="4" w:space="0"/>
              <w:bottom w:val="single" w:color="auto" w:sz="4" w:space="0"/>
              <w:right w:val="single" w:color="auto" w:sz="4" w:space="0"/>
            </w:tcBorders>
            <w:shd w:val="clear" w:color="auto" w:fill="auto"/>
            <w:noWrap/>
            <w:vAlign w:val="bottom"/>
          </w:tcPr>
          <w:p w14:paraId="175E0B6B">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JG251Y117</w:t>
            </w:r>
          </w:p>
        </w:tc>
        <w:tc>
          <w:tcPr>
            <w:tcW w:w="1779" w:type="dxa"/>
            <w:tcBorders>
              <w:top w:val="nil"/>
              <w:left w:val="nil"/>
              <w:bottom w:val="single" w:color="auto" w:sz="4" w:space="0"/>
              <w:right w:val="single" w:color="auto" w:sz="4" w:space="0"/>
            </w:tcBorders>
            <w:shd w:val="clear" w:color="auto" w:fill="auto"/>
            <w:noWrap/>
            <w:vAlign w:val="bottom"/>
          </w:tcPr>
          <w:p w14:paraId="39BAB198">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49,768,000.00 </w:t>
            </w:r>
          </w:p>
        </w:tc>
        <w:tc>
          <w:tcPr>
            <w:tcW w:w="948" w:type="dxa"/>
            <w:tcBorders>
              <w:top w:val="nil"/>
              <w:left w:val="nil"/>
              <w:bottom w:val="single" w:color="auto" w:sz="4" w:space="0"/>
              <w:right w:val="single" w:color="auto" w:sz="4" w:space="0"/>
            </w:tcBorders>
            <w:shd w:val="clear" w:color="auto" w:fill="auto"/>
            <w:noWrap/>
            <w:vAlign w:val="bottom"/>
          </w:tcPr>
          <w:p w14:paraId="31DA924B">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1.5</w:t>
            </w:r>
          </w:p>
        </w:tc>
        <w:tc>
          <w:tcPr>
            <w:tcW w:w="914" w:type="dxa"/>
            <w:tcBorders>
              <w:top w:val="nil"/>
              <w:left w:val="nil"/>
              <w:bottom w:val="single" w:color="auto" w:sz="4" w:space="0"/>
              <w:right w:val="single" w:color="auto" w:sz="4" w:space="0"/>
            </w:tcBorders>
            <w:shd w:val="clear" w:color="auto" w:fill="auto"/>
            <w:noWrap/>
            <w:vAlign w:val="bottom"/>
          </w:tcPr>
          <w:p w14:paraId="2F751E3B">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w:t>
            </w:r>
          </w:p>
        </w:tc>
        <w:tc>
          <w:tcPr>
            <w:tcW w:w="1704" w:type="dxa"/>
            <w:tcBorders>
              <w:top w:val="nil"/>
              <w:left w:val="nil"/>
              <w:bottom w:val="single" w:color="auto" w:sz="4" w:space="0"/>
              <w:right w:val="single" w:color="auto" w:sz="4" w:space="0"/>
            </w:tcBorders>
            <w:shd w:val="clear" w:color="auto" w:fill="auto"/>
            <w:noWrap/>
            <w:vAlign w:val="bottom"/>
          </w:tcPr>
          <w:p w14:paraId="785B737B">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970476.00 </w:t>
            </w:r>
          </w:p>
        </w:tc>
        <w:tc>
          <w:tcPr>
            <w:tcW w:w="1726" w:type="dxa"/>
            <w:tcBorders>
              <w:top w:val="nil"/>
              <w:left w:val="nil"/>
              <w:bottom w:val="single" w:color="auto" w:sz="4" w:space="0"/>
              <w:right w:val="single" w:color="auto" w:sz="4" w:space="0"/>
            </w:tcBorders>
            <w:shd w:val="clear" w:color="auto" w:fill="auto"/>
            <w:noWrap/>
            <w:vAlign w:val="bottom"/>
          </w:tcPr>
          <w:p w14:paraId="68168119">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964883.63 </w:t>
            </w:r>
          </w:p>
        </w:tc>
      </w:tr>
      <w:tr w14:paraId="60A7CD5B">
        <w:tblPrEx>
          <w:tblCellMar>
            <w:top w:w="0" w:type="dxa"/>
            <w:left w:w="108" w:type="dxa"/>
            <w:bottom w:w="0" w:type="dxa"/>
            <w:right w:w="108" w:type="dxa"/>
          </w:tblCellMar>
        </w:tblPrEx>
        <w:trPr>
          <w:trHeight w:val="300" w:hRule="atLeast"/>
        </w:trPr>
        <w:tc>
          <w:tcPr>
            <w:tcW w:w="1451" w:type="dxa"/>
            <w:tcBorders>
              <w:top w:val="nil"/>
              <w:left w:val="single" w:color="auto" w:sz="4" w:space="0"/>
              <w:bottom w:val="single" w:color="auto" w:sz="4" w:space="0"/>
              <w:right w:val="single" w:color="auto" w:sz="4" w:space="0"/>
            </w:tcBorders>
            <w:shd w:val="clear" w:color="auto" w:fill="auto"/>
            <w:noWrap/>
            <w:vAlign w:val="bottom"/>
          </w:tcPr>
          <w:p w14:paraId="5E8E170F">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JG251Y119</w:t>
            </w:r>
          </w:p>
        </w:tc>
        <w:tc>
          <w:tcPr>
            <w:tcW w:w="1779" w:type="dxa"/>
            <w:tcBorders>
              <w:top w:val="nil"/>
              <w:left w:val="nil"/>
              <w:bottom w:val="single" w:color="auto" w:sz="4" w:space="0"/>
              <w:right w:val="single" w:color="auto" w:sz="4" w:space="0"/>
            </w:tcBorders>
            <w:shd w:val="clear" w:color="auto" w:fill="auto"/>
            <w:noWrap/>
            <w:vAlign w:val="bottom"/>
          </w:tcPr>
          <w:p w14:paraId="5FC43B4B">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49,098,000.00 </w:t>
            </w:r>
          </w:p>
        </w:tc>
        <w:tc>
          <w:tcPr>
            <w:tcW w:w="948" w:type="dxa"/>
            <w:tcBorders>
              <w:top w:val="nil"/>
              <w:left w:val="nil"/>
              <w:bottom w:val="single" w:color="auto" w:sz="4" w:space="0"/>
              <w:right w:val="single" w:color="auto" w:sz="4" w:space="0"/>
            </w:tcBorders>
            <w:shd w:val="clear" w:color="auto" w:fill="auto"/>
            <w:noWrap/>
            <w:vAlign w:val="bottom"/>
          </w:tcPr>
          <w:p w14:paraId="070E9F5B">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1.5</w:t>
            </w:r>
          </w:p>
        </w:tc>
        <w:tc>
          <w:tcPr>
            <w:tcW w:w="914" w:type="dxa"/>
            <w:tcBorders>
              <w:top w:val="nil"/>
              <w:left w:val="nil"/>
              <w:bottom w:val="single" w:color="auto" w:sz="4" w:space="0"/>
              <w:right w:val="single" w:color="auto" w:sz="4" w:space="0"/>
            </w:tcBorders>
            <w:shd w:val="clear" w:color="auto" w:fill="auto"/>
            <w:noWrap/>
            <w:vAlign w:val="bottom"/>
          </w:tcPr>
          <w:p w14:paraId="206F55F1">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w:t>
            </w:r>
          </w:p>
        </w:tc>
        <w:tc>
          <w:tcPr>
            <w:tcW w:w="1704" w:type="dxa"/>
            <w:tcBorders>
              <w:top w:val="nil"/>
              <w:left w:val="nil"/>
              <w:bottom w:val="single" w:color="auto" w:sz="4" w:space="0"/>
              <w:right w:val="single" w:color="auto" w:sz="4" w:space="0"/>
            </w:tcBorders>
            <w:shd w:val="clear" w:color="auto" w:fill="auto"/>
            <w:noWrap/>
            <w:vAlign w:val="bottom"/>
          </w:tcPr>
          <w:p w14:paraId="2E109CE3">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954787.96 </w:t>
            </w:r>
          </w:p>
        </w:tc>
        <w:tc>
          <w:tcPr>
            <w:tcW w:w="1726" w:type="dxa"/>
            <w:tcBorders>
              <w:top w:val="nil"/>
              <w:left w:val="nil"/>
              <w:bottom w:val="single" w:color="auto" w:sz="4" w:space="0"/>
              <w:right w:val="single" w:color="auto" w:sz="4" w:space="0"/>
            </w:tcBorders>
            <w:shd w:val="clear" w:color="auto" w:fill="auto"/>
            <w:noWrap/>
            <w:vAlign w:val="bottom"/>
          </w:tcPr>
          <w:p w14:paraId="0DF6C50A">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951017.44 </w:t>
            </w:r>
          </w:p>
        </w:tc>
      </w:tr>
      <w:tr w14:paraId="43FAFF36">
        <w:tblPrEx>
          <w:tblCellMar>
            <w:top w:w="0" w:type="dxa"/>
            <w:left w:w="108" w:type="dxa"/>
            <w:bottom w:w="0" w:type="dxa"/>
            <w:right w:w="108" w:type="dxa"/>
          </w:tblCellMar>
        </w:tblPrEx>
        <w:trPr>
          <w:trHeight w:val="300" w:hRule="atLeast"/>
        </w:trPr>
        <w:tc>
          <w:tcPr>
            <w:tcW w:w="1451" w:type="dxa"/>
            <w:tcBorders>
              <w:top w:val="nil"/>
              <w:left w:val="single" w:color="auto" w:sz="4" w:space="0"/>
              <w:bottom w:val="single" w:color="auto" w:sz="4" w:space="0"/>
              <w:right w:val="single" w:color="auto" w:sz="4" w:space="0"/>
            </w:tcBorders>
            <w:shd w:val="clear" w:color="auto" w:fill="auto"/>
            <w:noWrap/>
            <w:vAlign w:val="bottom"/>
          </w:tcPr>
          <w:p w14:paraId="09D72C1A">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JG251Y122</w:t>
            </w:r>
          </w:p>
        </w:tc>
        <w:tc>
          <w:tcPr>
            <w:tcW w:w="1779" w:type="dxa"/>
            <w:tcBorders>
              <w:top w:val="nil"/>
              <w:left w:val="nil"/>
              <w:bottom w:val="single" w:color="auto" w:sz="4" w:space="0"/>
              <w:right w:val="single" w:color="auto" w:sz="4" w:space="0"/>
            </w:tcBorders>
            <w:shd w:val="clear" w:color="auto" w:fill="auto"/>
            <w:noWrap/>
            <w:vAlign w:val="bottom"/>
          </w:tcPr>
          <w:p w14:paraId="50EA908B">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166,673,000.00 </w:t>
            </w:r>
          </w:p>
        </w:tc>
        <w:tc>
          <w:tcPr>
            <w:tcW w:w="948" w:type="dxa"/>
            <w:tcBorders>
              <w:top w:val="nil"/>
              <w:left w:val="nil"/>
              <w:bottom w:val="single" w:color="auto" w:sz="4" w:space="0"/>
              <w:right w:val="single" w:color="auto" w:sz="4" w:space="0"/>
            </w:tcBorders>
            <w:shd w:val="clear" w:color="auto" w:fill="auto"/>
            <w:noWrap/>
            <w:vAlign w:val="bottom"/>
          </w:tcPr>
          <w:p w14:paraId="0E996B86">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1.5</w:t>
            </w:r>
          </w:p>
        </w:tc>
        <w:tc>
          <w:tcPr>
            <w:tcW w:w="914" w:type="dxa"/>
            <w:tcBorders>
              <w:top w:val="nil"/>
              <w:left w:val="nil"/>
              <w:bottom w:val="single" w:color="auto" w:sz="4" w:space="0"/>
              <w:right w:val="single" w:color="auto" w:sz="4" w:space="0"/>
            </w:tcBorders>
            <w:shd w:val="clear" w:color="auto" w:fill="auto"/>
            <w:noWrap/>
            <w:vAlign w:val="bottom"/>
          </w:tcPr>
          <w:p w14:paraId="58FEA4F7">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w:t>
            </w:r>
          </w:p>
        </w:tc>
        <w:tc>
          <w:tcPr>
            <w:tcW w:w="1704" w:type="dxa"/>
            <w:tcBorders>
              <w:top w:val="nil"/>
              <w:left w:val="nil"/>
              <w:bottom w:val="single" w:color="auto" w:sz="4" w:space="0"/>
              <w:right w:val="single" w:color="auto" w:sz="4" w:space="0"/>
            </w:tcBorders>
            <w:shd w:val="clear" w:color="auto" w:fill="auto"/>
            <w:noWrap/>
            <w:vAlign w:val="bottom"/>
          </w:tcPr>
          <w:p w14:paraId="6B85D4C2">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3241219.05 </w:t>
            </w:r>
          </w:p>
        </w:tc>
        <w:tc>
          <w:tcPr>
            <w:tcW w:w="1726" w:type="dxa"/>
            <w:tcBorders>
              <w:top w:val="nil"/>
              <w:left w:val="nil"/>
              <w:bottom w:val="single" w:color="auto" w:sz="4" w:space="0"/>
              <w:right w:val="single" w:color="auto" w:sz="4" w:space="0"/>
            </w:tcBorders>
            <w:shd w:val="clear" w:color="auto" w:fill="auto"/>
            <w:noWrap/>
            <w:vAlign w:val="bottom"/>
          </w:tcPr>
          <w:p w14:paraId="12C1D652">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3220218.12 </w:t>
            </w:r>
          </w:p>
        </w:tc>
      </w:tr>
      <w:tr w14:paraId="5B6FC600">
        <w:tblPrEx>
          <w:tblCellMar>
            <w:top w:w="0" w:type="dxa"/>
            <w:left w:w="108" w:type="dxa"/>
            <w:bottom w:w="0" w:type="dxa"/>
            <w:right w:w="108" w:type="dxa"/>
          </w:tblCellMar>
        </w:tblPrEx>
        <w:trPr>
          <w:trHeight w:val="270" w:hRule="atLeast"/>
        </w:trPr>
        <w:tc>
          <w:tcPr>
            <w:tcW w:w="1451" w:type="dxa"/>
            <w:tcBorders>
              <w:top w:val="nil"/>
              <w:left w:val="single" w:color="auto" w:sz="4" w:space="0"/>
              <w:bottom w:val="single" w:color="auto" w:sz="4" w:space="0"/>
              <w:right w:val="single" w:color="auto" w:sz="4" w:space="0"/>
            </w:tcBorders>
            <w:shd w:val="clear" w:color="auto" w:fill="auto"/>
            <w:noWrap/>
            <w:vAlign w:val="bottom"/>
          </w:tcPr>
          <w:p w14:paraId="462C2455">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JG251Y125</w:t>
            </w:r>
          </w:p>
        </w:tc>
        <w:tc>
          <w:tcPr>
            <w:tcW w:w="1779" w:type="dxa"/>
            <w:tcBorders>
              <w:top w:val="nil"/>
              <w:left w:val="nil"/>
              <w:bottom w:val="single" w:color="auto" w:sz="4" w:space="0"/>
              <w:right w:val="single" w:color="auto" w:sz="4" w:space="0"/>
            </w:tcBorders>
            <w:shd w:val="clear" w:color="auto" w:fill="auto"/>
            <w:noWrap/>
            <w:vAlign w:val="bottom"/>
          </w:tcPr>
          <w:p w14:paraId="58A339D3">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299,201,000.00 </w:t>
            </w:r>
          </w:p>
        </w:tc>
        <w:tc>
          <w:tcPr>
            <w:tcW w:w="948" w:type="dxa"/>
            <w:tcBorders>
              <w:top w:val="nil"/>
              <w:left w:val="nil"/>
              <w:bottom w:val="single" w:color="auto" w:sz="4" w:space="0"/>
              <w:right w:val="single" w:color="auto" w:sz="4" w:space="0"/>
            </w:tcBorders>
            <w:shd w:val="clear" w:color="auto" w:fill="auto"/>
            <w:noWrap/>
            <w:vAlign w:val="bottom"/>
          </w:tcPr>
          <w:p w14:paraId="085FFC33">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1.5</w:t>
            </w:r>
          </w:p>
        </w:tc>
        <w:tc>
          <w:tcPr>
            <w:tcW w:w="914" w:type="dxa"/>
            <w:tcBorders>
              <w:top w:val="nil"/>
              <w:left w:val="nil"/>
              <w:bottom w:val="single" w:color="auto" w:sz="4" w:space="0"/>
              <w:right w:val="single" w:color="auto" w:sz="4" w:space="0"/>
            </w:tcBorders>
            <w:shd w:val="clear" w:color="auto" w:fill="auto"/>
            <w:noWrap/>
            <w:vAlign w:val="bottom"/>
          </w:tcPr>
          <w:p w14:paraId="4582236D">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w:t>
            </w:r>
          </w:p>
        </w:tc>
        <w:tc>
          <w:tcPr>
            <w:tcW w:w="1704" w:type="dxa"/>
            <w:tcBorders>
              <w:top w:val="nil"/>
              <w:left w:val="nil"/>
              <w:bottom w:val="single" w:color="auto" w:sz="4" w:space="0"/>
              <w:right w:val="single" w:color="auto" w:sz="4" w:space="0"/>
            </w:tcBorders>
            <w:shd w:val="clear" w:color="auto" w:fill="auto"/>
            <w:noWrap/>
            <w:vAlign w:val="bottom"/>
          </w:tcPr>
          <w:p w14:paraId="5142C01B">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5834419.50 </w:t>
            </w:r>
          </w:p>
        </w:tc>
        <w:tc>
          <w:tcPr>
            <w:tcW w:w="1726" w:type="dxa"/>
            <w:tcBorders>
              <w:top w:val="nil"/>
              <w:left w:val="nil"/>
              <w:bottom w:val="single" w:color="auto" w:sz="4" w:space="0"/>
              <w:right w:val="single" w:color="auto" w:sz="4" w:space="0"/>
            </w:tcBorders>
            <w:shd w:val="clear" w:color="auto" w:fill="auto"/>
            <w:noWrap/>
            <w:vAlign w:val="bottom"/>
          </w:tcPr>
          <w:p w14:paraId="705938EE">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5652087.93 </w:t>
            </w:r>
          </w:p>
        </w:tc>
      </w:tr>
      <w:tr w14:paraId="293F11C0">
        <w:tblPrEx>
          <w:tblCellMar>
            <w:top w:w="0" w:type="dxa"/>
            <w:left w:w="108" w:type="dxa"/>
            <w:bottom w:w="0" w:type="dxa"/>
            <w:right w:w="108" w:type="dxa"/>
          </w:tblCellMar>
        </w:tblPrEx>
        <w:trPr>
          <w:trHeight w:val="270" w:hRule="atLeast"/>
        </w:trPr>
        <w:tc>
          <w:tcPr>
            <w:tcW w:w="1451" w:type="dxa"/>
            <w:tcBorders>
              <w:top w:val="nil"/>
              <w:left w:val="single" w:color="auto" w:sz="4" w:space="0"/>
              <w:bottom w:val="single" w:color="auto" w:sz="4" w:space="0"/>
              <w:right w:val="single" w:color="auto" w:sz="4" w:space="0"/>
            </w:tcBorders>
            <w:shd w:val="clear" w:color="auto" w:fill="auto"/>
            <w:noWrap/>
            <w:vAlign w:val="bottom"/>
          </w:tcPr>
          <w:p w14:paraId="1CCA69E5">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JG251Y131</w:t>
            </w:r>
          </w:p>
        </w:tc>
        <w:tc>
          <w:tcPr>
            <w:tcW w:w="1779" w:type="dxa"/>
            <w:tcBorders>
              <w:top w:val="nil"/>
              <w:left w:val="nil"/>
              <w:bottom w:val="single" w:color="auto" w:sz="4" w:space="0"/>
              <w:right w:val="single" w:color="auto" w:sz="4" w:space="0"/>
            </w:tcBorders>
            <w:shd w:val="clear" w:color="auto" w:fill="auto"/>
            <w:noWrap/>
            <w:vAlign w:val="bottom"/>
          </w:tcPr>
          <w:p w14:paraId="2C21792E">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126,705,000.00 </w:t>
            </w:r>
          </w:p>
        </w:tc>
        <w:tc>
          <w:tcPr>
            <w:tcW w:w="948" w:type="dxa"/>
            <w:tcBorders>
              <w:top w:val="nil"/>
              <w:left w:val="nil"/>
              <w:bottom w:val="single" w:color="auto" w:sz="4" w:space="0"/>
              <w:right w:val="single" w:color="auto" w:sz="4" w:space="0"/>
            </w:tcBorders>
            <w:shd w:val="clear" w:color="auto" w:fill="auto"/>
            <w:noWrap/>
            <w:vAlign w:val="bottom"/>
          </w:tcPr>
          <w:p w14:paraId="20C88207">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1.5</w:t>
            </w:r>
          </w:p>
        </w:tc>
        <w:tc>
          <w:tcPr>
            <w:tcW w:w="914" w:type="dxa"/>
            <w:tcBorders>
              <w:top w:val="nil"/>
              <w:left w:val="nil"/>
              <w:bottom w:val="single" w:color="auto" w:sz="4" w:space="0"/>
              <w:right w:val="single" w:color="auto" w:sz="4" w:space="0"/>
            </w:tcBorders>
            <w:shd w:val="clear" w:color="auto" w:fill="auto"/>
            <w:noWrap/>
            <w:vAlign w:val="bottom"/>
          </w:tcPr>
          <w:p w14:paraId="09AF69BB">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1.95</w:t>
            </w:r>
          </w:p>
        </w:tc>
        <w:tc>
          <w:tcPr>
            <w:tcW w:w="1704" w:type="dxa"/>
            <w:tcBorders>
              <w:top w:val="nil"/>
              <w:left w:val="nil"/>
              <w:bottom w:val="single" w:color="auto" w:sz="4" w:space="0"/>
              <w:right w:val="single" w:color="auto" w:sz="4" w:space="0"/>
            </w:tcBorders>
            <w:shd w:val="clear" w:color="auto" w:fill="auto"/>
            <w:noWrap/>
            <w:vAlign w:val="bottom"/>
          </w:tcPr>
          <w:p w14:paraId="453CDBCD">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2407395.00 </w:t>
            </w:r>
          </w:p>
        </w:tc>
        <w:tc>
          <w:tcPr>
            <w:tcW w:w="1726" w:type="dxa"/>
            <w:tcBorders>
              <w:top w:val="nil"/>
              <w:left w:val="nil"/>
              <w:bottom w:val="single" w:color="auto" w:sz="4" w:space="0"/>
              <w:right w:val="single" w:color="auto" w:sz="4" w:space="0"/>
            </w:tcBorders>
            <w:shd w:val="clear" w:color="auto" w:fill="auto"/>
            <w:noWrap/>
            <w:vAlign w:val="bottom"/>
          </w:tcPr>
          <w:p w14:paraId="19DBBA45">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2336977.85 </w:t>
            </w:r>
          </w:p>
        </w:tc>
      </w:tr>
      <w:tr w14:paraId="39B65BFA">
        <w:tblPrEx>
          <w:tblCellMar>
            <w:top w:w="0" w:type="dxa"/>
            <w:left w:w="108" w:type="dxa"/>
            <w:bottom w:w="0" w:type="dxa"/>
            <w:right w:w="108" w:type="dxa"/>
          </w:tblCellMar>
        </w:tblPrEx>
        <w:trPr>
          <w:trHeight w:val="270" w:hRule="atLeast"/>
        </w:trPr>
        <w:tc>
          <w:tcPr>
            <w:tcW w:w="1451" w:type="dxa"/>
            <w:tcBorders>
              <w:top w:val="nil"/>
              <w:left w:val="single" w:color="auto" w:sz="4" w:space="0"/>
              <w:bottom w:val="single" w:color="auto" w:sz="4" w:space="0"/>
              <w:right w:val="single" w:color="auto" w:sz="4" w:space="0"/>
            </w:tcBorders>
            <w:shd w:val="clear" w:color="auto" w:fill="auto"/>
            <w:noWrap/>
            <w:vAlign w:val="bottom"/>
          </w:tcPr>
          <w:p w14:paraId="7DBBC4E2">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JG251Y134</w:t>
            </w:r>
          </w:p>
        </w:tc>
        <w:tc>
          <w:tcPr>
            <w:tcW w:w="1779" w:type="dxa"/>
            <w:tcBorders>
              <w:top w:val="nil"/>
              <w:left w:val="nil"/>
              <w:bottom w:val="single" w:color="auto" w:sz="4" w:space="0"/>
              <w:right w:val="single" w:color="auto" w:sz="4" w:space="0"/>
            </w:tcBorders>
            <w:shd w:val="clear" w:color="auto" w:fill="auto"/>
            <w:noWrap/>
            <w:vAlign w:val="bottom"/>
          </w:tcPr>
          <w:p w14:paraId="6BE9544B">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97,163,000.00 </w:t>
            </w:r>
          </w:p>
        </w:tc>
        <w:tc>
          <w:tcPr>
            <w:tcW w:w="948" w:type="dxa"/>
            <w:tcBorders>
              <w:top w:val="nil"/>
              <w:left w:val="nil"/>
              <w:bottom w:val="single" w:color="auto" w:sz="4" w:space="0"/>
              <w:right w:val="single" w:color="auto" w:sz="4" w:space="0"/>
            </w:tcBorders>
            <w:shd w:val="clear" w:color="auto" w:fill="auto"/>
            <w:noWrap/>
            <w:vAlign w:val="bottom"/>
          </w:tcPr>
          <w:p w14:paraId="03E6F0B0">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1.4</w:t>
            </w:r>
          </w:p>
        </w:tc>
        <w:tc>
          <w:tcPr>
            <w:tcW w:w="914" w:type="dxa"/>
            <w:tcBorders>
              <w:top w:val="nil"/>
              <w:left w:val="nil"/>
              <w:bottom w:val="single" w:color="auto" w:sz="4" w:space="0"/>
              <w:right w:val="single" w:color="auto" w:sz="4" w:space="0"/>
            </w:tcBorders>
            <w:shd w:val="clear" w:color="auto" w:fill="auto"/>
            <w:noWrap/>
            <w:vAlign w:val="bottom"/>
          </w:tcPr>
          <w:p w14:paraId="1EA2CECE">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1.95</w:t>
            </w:r>
          </w:p>
        </w:tc>
        <w:tc>
          <w:tcPr>
            <w:tcW w:w="1704" w:type="dxa"/>
            <w:tcBorders>
              <w:top w:val="nil"/>
              <w:left w:val="nil"/>
              <w:bottom w:val="single" w:color="auto" w:sz="4" w:space="0"/>
              <w:right w:val="single" w:color="auto" w:sz="4" w:space="0"/>
            </w:tcBorders>
            <w:shd w:val="clear" w:color="auto" w:fill="auto"/>
            <w:noWrap/>
            <w:vAlign w:val="bottom"/>
          </w:tcPr>
          <w:p w14:paraId="69A3C492">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1832280.48 </w:t>
            </w:r>
          </w:p>
        </w:tc>
        <w:tc>
          <w:tcPr>
            <w:tcW w:w="1726" w:type="dxa"/>
            <w:tcBorders>
              <w:top w:val="nil"/>
              <w:left w:val="nil"/>
              <w:bottom w:val="single" w:color="auto" w:sz="4" w:space="0"/>
              <w:right w:val="single" w:color="auto" w:sz="4" w:space="0"/>
            </w:tcBorders>
            <w:shd w:val="clear" w:color="auto" w:fill="auto"/>
            <w:noWrap/>
            <w:vAlign w:val="bottom"/>
          </w:tcPr>
          <w:p w14:paraId="029BB35E">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1791969.23 </w:t>
            </w:r>
          </w:p>
        </w:tc>
      </w:tr>
      <w:tr w14:paraId="1793133A">
        <w:tblPrEx>
          <w:tblCellMar>
            <w:top w:w="0" w:type="dxa"/>
            <w:left w:w="108" w:type="dxa"/>
            <w:bottom w:w="0" w:type="dxa"/>
            <w:right w:w="108" w:type="dxa"/>
          </w:tblCellMar>
        </w:tblPrEx>
        <w:trPr>
          <w:trHeight w:val="270" w:hRule="atLeast"/>
        </w:trPr>
        <w:tc>
          <w:tcPr>
            <w:tcW w:w="1451" w:type="dxa"/>
            <w:tcBorders>
              <w:top w:val="nil"/>
              <w:left w:val="single" w:color="auto" w:sz="4" w:space="0"/>
              <w:bottom w:val="single" w:color="auto" w:sz="4" w:space="0"/>
              <w:right w:val="single" w:color="auto" w:sz="4" w:space="0"/>
            </w:tcBorders>
            <w:shd w:val="clear" w:color="auto" w:fill="auto"/>
            <w:noWrap/>
            <w:vAlign w:val="bottom"/>
          </w:tcPr>
          <w:p w14:paraId="04E3FBD4">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JG251Y143</w:t>
            </w:r>
          </w:p>
        </w:tc>
        <w:tc>
          <w:tcPr>
            <w:tcW w:w="1779" w:type="dxa"/>
            <w:tcBorders>
              <w:top w:val="nil"/>
              <w:left w:val="nil"/>
              <w:bottom w:val="single" w:color="auto" w:sz="4" w:space="0"/>
              <w:right w:val="single" w:color="auto" w:sz="4" w:space="0"/>
            </w:tcBorders>
            <w:shd w:val="clear" w:color="auto" w:fill="auto"/>
            <w:noWrap/>
            <w:vAlign w:val="bottom"/>
          </w:tcPr>
          <w:p w14:paraId="2C77FDE8">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47,462,000.00 </w:t>
            </w:r>
          </w:p>
        </w:tc>
        <w:tc>
          <w:tcPr>
            <w:tcW w:w="948" w:type="dxa"/>
            <w:tcBorders>
              <w:top w:val="nil"/>
              <w:left w:val="nil"/>
              <w:bottom w:val="single" w:color="auto" w:sz="4" w:space="0"/>
              <w:right w:val="single" w:color="auto" w:sz="4" w:space="0"/>
            </w:tcBorders>
            <w:shd w:val="clear" w:color="auto" w:fill="auto"/>
            <w:noWrap/>
            <w:vAlign w:val="bottom"/>
          </w:tcPr>
          <w:p w14:paraId="29E9C1E9">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1.4</w:t>
            </w:r>
          </w:p>
        </w:tc>
        <w:tc>
          <w:tcPr>
            <w:tcW w:w="914" w:type="dxa"/>
            <w:tcBorders>
              <w:top w:val="nil"/>
              <w:left w:val="nil"/>
              <w:bottom w:val="single" w:color="auto" w:sz="4" w:space="0"/>
              <w:right w:val="single" w:color="auto" w:sz="4" w:space="0"/>
            </w:tcBorders>
            <w:shd w:val="clear" w:color="auto" w:fill="auto"/>
            <w:noWrap/>
            <w:vAlign w:val="bottom"/>
          </w:tcPr>
          <w:p w14:paraId="11FD2D98">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1.95</w:t>
            </w:r>
          </w:p>
        </w:tc>
        <w:tc>
          <w:tcPr>
            <w:tcW w:w="1704" w:type="dxa"/>
            <w:tcBorders>
              <w:top w:val="nil"/>
              <w:left w:val="nil"/>
              <w:bottom w:val="single" w:color="auto" w:sz="4" w:space="0"/>
              <w:right w:val="single" w:color="auto" w:sz="4" w:space="0"/>
            </w:tcBorders>
            <w:shd w:val="clear" w:color="auto" w:fill="auto"/>
            <w:noWrap/>
            <w:vAlign w:val="bottom"/>
          </w:tcPr>
          <w:p w14:paraId="7D8E61E9">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901673.97 </w:t>
            </w:r>
          </w:p>
        </w:tc>
        <w:tc>
          <w:tcPr>
            <w:tcW w:w="1726" w:type="dxa"/>
            <w:tcBorders>
              <w:top w:val="nil"/>
              <w:left w:val="nil"/>
              <w:bottom w:val="single" w:color="auto" w:sz="4" w:space="0"/>
              <w:right w:val="single" w:color="auto" w:sz="4" w:space="0"/>
            </w:tcBorders>
            <w:shd w:val="clear" w:color="auto" w:fill="auto"/>
            <w:noWrap/>
            <w:vAlign w:val="bottom"/>
          </w:tcPr>
          <w:p w14:paraId="35E92FCF">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875328.53 </w:t>
            </w:r>
          </w:p>
        </w:tc>
      </w:tr>
      <w:tr w14:paraId="0BA96EB9">
        <w:tblPrEx>
          <w:tblCellMar>
            <w:top w:w="0" w:type="dxa"/>
            <w:left w:w="108" w:type="dxa"/>
            <w:bottom w:w="0" w:type="dxa"/>
            <w:right w:w="108" w:type="dxa"/>
          </w:tblCellMar>
        </w:tblPrEx>
        <w:trPr>
          <w:trHeight w:val="270" w:hRule="atLeast"/>
        </w:trPr>
        <w:tc>
          <w:tcPr>
            <w:tcW w:w="1451" w:type="dxa"/>
            <w:tcBorders>
              <w:top w:val="nil"/>
              <w:left w:val="single" w:color="auto" w:sz="4" w:space="0"/>
              <w:bottom w:val="single" w:color="auto" w:sz="4" w:space="0"/>
              <w:right w:val="single" w:color="auto" w:sz="4" w:space="0"/>
            </w:tcBorders>
            <w:shd w:val="clear" w:color="auto" w:fill="auto"/>
            <w:noWrap/>
            <w:vAlign w:val="bottom"/>
          </w:tcPr>
          <w:p w14:paraId="0861DEEE">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JG253M116</w:t>
            </w:r>
          </w:p>
        </w:tc>
        <w:tc>
          <w:tcPr>
            <w:tcW w:w="1779" w:type="dxa"/>
            <w:tcBorders>
              <w:top w:val="nil"/>
              <w:left w:val="nil"/>
              <w:bottom w:val="single" w:color="auto" w:sz="4" w:space="0"/>
              <w:right w:val="single" w:color="auto" w:sz="4" w:space="0"/>
            </w:tcBorders>
            <w:shd w:val="clear" w:color="auto" w:fill="auto"/>
            <w:noWrap/>
            <w:vAlign w:val="bottom"/>
          </w:tcPr>
          <w:p w14:paraId="140BF546">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178,680,000.00 </w:t>
            </w:r>
          </w:p>
        </w:tc>
        <w:tc>
          <w:tcPr>
            <w:tcW w:w="948" w:type="dxa"/>
            <w:tcBorders>
              <w:top w:val="nil"/>
              <w:left w:val="nil"/>
              <w:bottom w:val="single" w:color="auto" w:sz="4" w:space="0"/>
              <w:right w:val="single" w:color="auto" w:sz="4" w:space="0"/>
            </w:tcBorders>
            <w:shd w:val="clear" w:color="auto" w:fill="auto"/>
            <w:noWrap/>
            <w:vAlign w:val="bottom"/>
          </w:tcPr>
          <w:p w14:paraId="720C7D84">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nil"/>
              <w:left w:val="nil"/>
              <w:bottom w:val="single" w:color="auto" w:sz="4" w:space="0"/>
              <w:right w:val="single" w:color="auto" w:sz="4" w:space="0"/>
            </w:tcBorders>
            <w:shd w:val="clear" w:color="auto" w:fill="auto"/>
            <w:noWrap/>
            <w:vAlign w:val="bottom"/>
          </w:tcPr>
          <w:p w14:paraId="5ADFF590">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1.93</w:t>
            </w:r>
          </w:p>
        </w:tc>
        <w:tc>
          <w:tcPr>
            <w:tcW w:w="1704" w:type="dxa"/>
            <w:tcBorders>
              <w:top w:val="nil"/>
              <w:left w:val="nil"/>
              <w:bottom w:val="single" w:color="auto" w:sz="4" w:space="0"/>
              <w:right w:val="single" w:color="auto" w:sz="4" w:space="0"/>
            </w:tcBorders>
            <w:shd w:val="clear" w:color="auto" w:fill="auto"/>
            <w:noWrap/>
            <w:vAlign w:val="bottom"/>
          </w:tcPr>
          <w:p w14:paraId="6555A71F">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1049169.80 </w:t>
            </w:r>
          </w:p>
        </w:tc>
        <w:tc>
          <w:tcPr>
            <w:tcW w:w="1726" w:type="dxa"/>
            <w:tcBorders>
              <w:top w:val="nil"/>
              <w:left w:val="nil"/>
              <w:bottom w:val="single" w:color="auto" w:sz="4" w:space="0"/>
              <w:right w:val="single" w:color="auto" w:sz="4" w:space="0"/>
            </w:tcBorders>
            <w:shd w:val="clear" w:color="auto" w:fill="auto"/>
            <w:noWrap/>
            <w:vAlign w:val="bottom"/>
          </w:tcPr>
          <w:p w14:paraId="6BA7FA40">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1075685.86 </w:t>
            </w:r>
          </w:p>
        </w:tc>
      </w:tr>
      <w:tr w14:paraId="67EAF197">
        <w:tblPrEx>
          <w:tblCellMar>
            <w:top w:w="0" w:type="dxa"/>
            <w:left w:w="108" w:type="dxa"/>
            <w:bottom w:w="0" w:type="dxa"/>
            <w:right w:w="108" w:type="dxa"/>
          </w:tblCellMar>
        </w:tblPrEx>
        <w:trPr>
          <w:trHeight w:val="270" w:hRule="atLeast"/>
        </w:trPr>
        <w:tc>
          <w:tcPr>
            <w:tcW w:w="1451" w:type="dxa"/>
            <w:tcBorders>
              <w:top w:val="nil"/>
              <w:left w:val="single" w:color="auto" w:sz="4" w:space="0"/>
              <w:bottom w:val="single" w:color="auto" w:sz="4" w:space="0"/>
              <w:right w:val="single" w:color="auto" w:sz="4" w:space="0"/>
            </w:tcBorders>
            <w:shd w:val="clear" w:color="auto" w:fill="auto"/>
            <w:noWrap/>
            <w:vAlign w:val="bottom"/>
          </w:tcPr>
          <w:p w14:paraId="3D3F252A">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JG253M118</w:t>
            </w:r>
          </w:p>
        </w:tc>
        <w:tc>
          <w:tcPr>
            <w:tcW w:w="1779" w:type="dxa"/>
            <w:tcBorders>
              <w:top w:val="nil"/>
              <w:left w:val="nil"/>
              <w:bottom w:val="single" w:color="auto" w:sz="4" w:space="0"/>
              <w:right w:val="single" w:color="auto" w:sz="4" w:space="0"/>
            </w:tcBorders>
            <w:shd w:val="clear" w:color="auto" w:fill="auto"/>
            <w:noWrap/>
            <w:vAlign w:val="bottom"/>
          </w:tcPr>
          <w:p w14:paraId="2CA32A03">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50,000,000.00 </w:t>
            </w:r>
          </w:p>
        </w:tc>
        <w:tc>
          <w:tcPr>
            <w:tcW w:w="948" w:type="dxa"/>
            <w:tcBorders>
              <w:top w:val="nil"/>
              <w:left w:val="nil"/>
              <w:bottom w:val="single" w:color="auto" w:sz="4" w:space="0"/>
              <w:right w:val="single" w:color="auto" w:sz="4" w:space="0"/>
            </w:tcBorders>
            <w:shd w:val="clear" w:color="auto" w:fill="auto"/>
            <w:noWrap/>
            <w:vAlign w:val="bottom"/>
          </w:tcPr>
          <w:p w14:paraId="30B3867A">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nil"/>
              <w:left w:val="nil"/>
              <w:bottom w:val="single" w:color="auto" w:sz="4" w:space="0"/>
              <w:right w:val="single" w:color="auto" w:sz="4" w:space="0"/>
            </w:tcBorders>
            <w:shd w:val="clear" w:color="auto" w:fill="auto"/>
            <w:noWrap/>
            <w:vAlign w:val="bottom"/>
          </w:tcPr>
          <w:p w14:paraId="7CB84E67">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1.9</w:t>
            </w:r>
          </w:p>
        </w:tc>
        <w:tc>
          <w:tcPr>
            <w:tcW w:w="1704" w:type="dxa"/>
            <w:tcBorders>
              <w:top w:val="nil"/>
              <w:left w:val="nil"/>
              <w:bottom w:val="single" w:color="auto" w:sz="4" w:space="0"/>
              <w:right w:val="single" w:color="auto" w:sz="4" w:space="0"/>
            </w:tcBorders>
            <w:shd w:val="clear" w:color="auto" w:fill="auto"/>
            <w:noWrap/>
            <w:vAlign w:val="bottom"/>
          </w:tcPr>
          <w:p w14:paraId="0157EDB9">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276232.88 </w:t>
            </w:r>
          </w:p>
        </w:tc>
        <w:tc>
          <w:tcPr>
            <w:tcW w:w="1726" w:type="dxa"/>
            <w:tcBorders>
              <w:top w:val="nil"/>
              <w:left w:val="nil"/>
              <w:bottom w:val="single" w:color="auto" w:sz="4" w:space="0"/>
              <w:right w:val="single" w:color="auto" w:sz="4" w:space="0"/>
            </w:tcBorders>
            <w:shd w:val="clear" w:color="auto" w:fill="auto"/>
            <w:noWrap/>
            <w:vAlign w:val="bottom"/>
          </w:tcPr>
          <w:p w14:paraId="7FCE36AB">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283613.31 </w:t>
            </w:r>
          </w:p>
        </w:tc>
      </w:tr>
      <w:tr w14:paraId="46E2C195">
        <w:tblPrEx>
          <w:tblCellMar>
            <w:top w:w="0" w:type="dxa"/>
            <w:left w:w="108" w:type="dxa"/>
            <w:bottom w:w="0" w:type="dxa"/>
            <w:right w:w="108" w:type="dxa"/>
          </w:tblCellMar>
        </w:tblPrEx>
        <w:trPr>
          <w:trHeight w:val="270" w:hRule="atLeast"/>
        </w:trPr>
        <w:tc>
          <w:tcPr>
            <w:tcW w:w="1451" w:type="dxa"/>
            <w:tcBorders>
              <w:top w:val="nil"/>
              <w:left w:val="single" w:color="auto" w:sz="4" w:space="0"/>
              <w:bottom w:val="single" w:color="auto" w:sz="4" w:space="0"/>
              <w:right w:val="single" w:color="auto" w:sz="4" w:space="0"/>
            </w:tcBorders>
            <w:shd w:val="clear" w:color="auto" w:fill="auto"/>
            <w:noWrap/>
            <w:vAlign w:val="bottom"/>
          </w:tcPr>
          <w:p w14:paraId="3DD17AE3">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JG253M120</w:t>
            </w:r>
          </w:p>
        </w:tc>
        <w:tc>
          <w:tcPr>
            <w:tcW w:w="1779" w:type="dxa"/>
            <w:tcBorders>
              <w:top w:val="nil"/>
              <w:left w:val="nil"/>
              <w:bottom w:val="single" w:color="auto" w:sz="4" w:space="0"/>
              <w:right w:val="single" w:color="auto" w:sz="4" w:space="0"/>
            </w:tcBorders>
            <w:shd w:val="clear" w:color="auto" w:fill="auto"/>
            <w:noWrap/>
            <w:vAlign w:val="bottom"/>
          </w:tcPr>
          <w:p w14:paraId="31B01D69">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49,800,000.00 </w:t>
            </w:r>
          </w:p>
        </w:tc>
        <w:tc>
          <w:tcPr>
            <w:tcW w:w="948" w:type="dxa"/>
            <w:tcBorders>
              <w:top w:val="nil"/>
              <w:left w:val="nil"/>
              <w:bottom w:val="single" w:color="auto" w:sz="4" w:space="0"/>
              <w:right w:val="single" w:color="auto" w:sz="4" w:space="0"/>
            </w:tcBorders>
            <w:shd w:val="clear" w:color="auto" w:fill="auto"/>
            <w:noWrap/>
            <w:vAlign w:val="bottom"/>
          </w:tcPr>
          <w:p w14:paraId="676C5FE3">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nil"/>
              <w:left w:val="nil"/>
              <w:bottom w:val="single" w:color="auto" w:sz="4" w:space="0"/>
              <w:right w:val="single" w:color="auto" w:sz="4" w:space="0"/>
            </w:tcBorders>
            <w:shd w:val="clear" w:color="auto" w:fill="auto"/>
            <w:noWrap/>
            <w:vAlign w:val="bottom"/>
          </w:tcPr>
          <w:p w14:paraId="175B321B">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1.9</w:t>
            </w:r>
          </w:p>
        </w:tc>
        <w:tc>
          <w:tcPr>
            <w:tcW w:w="1704" w:type="dxa"/>
            <w:tcBorders>
              <w:top w:val="nil"/>
              <w:left w:val="nil"/>
              <w:bottom w:val="single" w:color="auto" w:sz="4" w:space="0"/>
              <w:right w:val="single" w:color="auto" w:sz="4" w:space="0"/>
            </w:tcBorders>
            <w:shd w:val="clear" w:color="auto" w:fill="auto"/>
            <w:noWrap/>
            <w:vAlign w:val="bottom"/>
          </w:tcPr>
          <w:p w14:paraId="7726EC25">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280176.16 </w:t>
            </w:r>
          </w:p>
        </w:tc>
        <w:tc>
          <w:tcPr>
            <w:tcW w:w="1726" w:type="dxa"/>
            <w:tcBorders>
              <w:top w:val="nil"/>
              <w:left w:val="nil"/>
              <w:bottom w:val="single" w:color="auto" w:sz="4" w:space="0"/>
              <w:right w:val="single" w:color="auto" w:sz="4" w:space="0"/>
            </w:tcBorders>
            <w:shd w:val="clear" w:color="auto" w:fill="auto"/>
            <w:noWrap/>
            <w:vAlign w:val="bottom"/>
          </w:tcPr>
          <w:p w14:paraId="084F1095">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286888.89 </w:t>
            </w:r>
          </w:p>
        </w:tc>
      </w:tr>
      <w:tr w14:paraId="3DBB0520">
        <w:tblPrEx>
          <w:tblCellMar>
            <w:top w:w="0" w:type="dxa"/>
            <w:left w:w="108" w:type="dxa"/>
            <w:bottom w:w="0" w:type="dxa"/>
            <w:right w:w="108" w:type="dxa"/>
          </w:tblCellMar>
        </w:tblPrEx>
        <w:trPr>
          <w:trHeight w:val="270" w:hRule="atLeast"/>
        </w:trPr>
        <w:tc>
          <w:tcPr>
            <w:tcW w:w="1451" w:type="dxa"/>
            <w:tcBorders>
              <w:top w:val="nil"/>
              <w:left w:val="single" w:color="auto" w:sz="4" w:space="0"/>
              <w:bottom w:val="single" w:color="auto" w:sz="4" w:space="0"/>
              <w:right w:val="single" w:color="auto" w:sz="4" w:space="0"/>
            </w:tcBorders>
            <w:shd w:val="clear" w:color="auto" w:fill="auto"/>
            <w:noWrap/>
            <w:vAlign w:val="bottom"/>
          </w:tcPr>
          <w:p w14:paraId="7C0FD510">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JG253M121</w:t>
            </w:r>
          </w:p>
        </w:tc>
        <w:tc>
          <w:tcPr>
            <w:tcW w:w="1779" w:type="dxa"/>
            <w:tcBorders>
              <w:top w:val="nil"/>
              <w:left w:val="nil"/>
              <w:bottom w:val="single" w:color="auto" w:sz="4" w:space="0"/>
              <w:right w:val="single" w:color="auto" w:sz="4" w:space="0"/>
            </w:tcBorders>
            <w:shd w:val="clear" w:color="auto" w:fill="auto"/>
            <w:noWrap/>
            <w:vAlign w:val="bottom"/>
          </w:tcPr>
          <w:p w14:paraId="70581369">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199,890,000.00 </w:t>
            </w:r>
          </w:p>
        </w:tc>
        <w:tc>
          <w:tcPr>
            <w:tcW w:w="948" w:type="dxa"/>
            <w:tcBorders>
              <w:top w:val="nil"/>
              <w:left w:val="nil"/>
              <w:bottom w:val="single" w:color="auto" w:sz="4" w:space="0"/>
              <w:right w:val="single" w:color="auto" w:sz="4" w:space="0"/>
            </w:tcBorders>
            <w:shd w:val="clear" w:color="auto" w:fill="auto"/>
            <w:noWrap/>
            <w:vAlign w:val="bottom"/>
          </w:tcPr>
          <w:p w14:paraId="47ED1526">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nil"/>
              <w:left w:val="nil"/>
              <w:bottom w:val="single" w:color="auto" w:sz="4" w:space="0"/>
              <w:right w:val="single" w:color="auto" w:sz="4" w:space="0"/>
            </w:tcBorders>
            <w:shd w:val="clear" w:color="auto" w:fill="auto"/>
            <w:noWrap/>
            <w:vAlign w:val="bottom"/>
          </w:tcPr>
          <w:p w14:paraId="291EAE7E">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1.9</w:t>
            </w:r>
          </w:p>
        </w:tc>
        <w:tc>
          <w:tcPr>
            <w:tcW w:w="1704" w:type="dxa"/>
            <w:tcBorders>
              <w:top w:val="nil"/>
              <w:left w:val="nil"/>
              <w:bottom w:val="single" w:color="auto" w:sz="4" w:space="0"/>
              <w:right w:val="single" w:color="auto" w:sz="4" w:space="0"/>
            </w:tcBorders>
            <w:shd w:val="clear" w:color="auto" w:fill="auto"/>
            <w:noWrap/>
            <w:vAlign w:val="bottom"/>
          </w:tcPr>
          <w:p w14:paraId="5DEB041A">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1134718.03 </w:t>
            </w:r>
          </w:p>
        </w:tc>
        <w:tc>
          <w:tcPr>
            <w:tcW w:w="1726" w:type="dxa"/>
            <w:tcBorders>
              <w:top w:val="nil"/>
              <w:left w:val="nil"/>
              <w:bottom w:val="single" w:color="auto" w:sz="4" w:space="0"/>
              <w:right w:val="single" w:color="auto" w:sz="4" w:space="0"/>
            </w:tcBorders>
            <w:shd w:val="clear" w:color="auto" w:fill="auto"/>
            <w:noWrap/>
            <w:vAlign w:val="bottom"/>
          </w:tcPr>
          <w:p w14:paraId="36EF2750">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1159878.98 </w:t>
            </w:r>
          </w:p>
        </w:tc>
      </w:tr>
      <w:tr w14:paraId="22D731CC">
        <w:tblPrEx>
          <w:tblCellMar>
            <w:top w:w="0" w:type="dxa"/>
            <w:left w:w="108" w:type="dxa"/>
            <w:bottom w:w="0" w:type="dxa"/>
            <w:right w:w="108" w:type="dxa"/>
          </w:tblCellMar>
        </w:tblPrEx>
        <w:trPr>
          <w:trHeight w:val="270" w:hRule="atLeast"/>
        </w:trPr>
        <w:tc>
          <w:tcPr>
            <w:tcW w:w="1451" w:type="dxa"/>
            <w:tcBorders>
              <w:top w:val="nil"/>
              <w:left w:val="single" w:color="auto" w:sz="4" w:space="0"/>
              <w:bottom w:val="single" w:color="auto" w:sz="4" w:space="0"/>
              <w:right w:val="single" w:color="auto" w:sz="4" w:space="0"/>
            </w:tcBorders>
            <w:shd w:val="clear" w:color="auto" w:fill="auto"/>
            <w:noWrap/>
            <w:vAlign w:val="bottom"/>
          </w:tcPr>
          <w:p w14:paraId="06A6E883">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JG253M123</w:t>
            </w:r>
          </w:p>
        </w:tc>
        <w:tc>
          <w:tcPr>
            <w:tcW w:w="1779" w:type="dxa"/>
            <w:tcBorders>
              <w:top w:val="nil"/>
              <w:left w:val="nil"/>
              <w:bottom w:val="single" w:color="auto" w:sz="4" w:space="0"/>
              <w:right w:val="single" w:color="auto" w:sz="4" w:space="0"/>
            </w:tcBorders>
            <w:shd w:val="clear" w:color="auto" w:fill="auto"/>
            <w:noWrap/>
            <w:vAlign w:val="bottom"/>
          </w:tcPr>
          <w:p w14:paraId="2B745147">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49,930,000.00 </w:t>
            </w:r>
          </w:p>
        </w:tc>
        <w:tc>
          <w:tcPr>
            <w:tcW w:w="948" w:type="dxa"/>
            <w:tcBorders>
              <w:top w:val="nil"/>
              <w:left w:val="nil"/>
              <w:bottom w:val="single" w:color="auto" w:sz="4" w:space="0"/>
              <w:right w:val="single" w:color="auto" w:sz="4" w:space="0"/>
            </w:tcBorders>
            <w:shd w:val="clear" w:color="auto" w:fill="auto"/>
            <w:noWrap/>
            <w:vAlign w:val="bottom"/>
          </w:tcPr>
          <w:p w14:paraId="6B220EA2">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nil"/>
              <w:left w:val="nil"/>
              <w:bottom w:val="single" w:color="auto" w:sz="4" w:space="0"/>
              <w:right w:val="single" w:color="auto" w:sz="4" w:space="0"/>
            </w:tcBorders>
            <w:shd w:val="clear" w:color="auto" w:fill="auto"/>
            <w:noWrap/>
            <w:vAlign w:val="bottom"/>
          </w:tcPr>
          <w:p w14:paraId="733C3E8E">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1.9</w:t>
            </w:r>
          </w:p>
        </w:tc>
        <w:tc>
          <w:tcPr>
            <w:tcW w:w="1704" w:type="dxa"/>
            <w:tcBorders>
              <w:top w:val="nil"/>
              <w:left w:val="nil"/>
              <w:bottom w:val="single" w:color="auto" w:sz="4" w:space="0"/>
              <w:right w:val="single" w:color="auto" w:sz="4" w:space="0"/>
            </w:tcBorders>
            <w:shd w:val="clear" w:color="auto" w:fill="auto"/>
            <w:noWrap/>
            <w:vAlign w:val="bottom"/>
          </w:tcPr>
          <w:p w14:paraId="1417CB34">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283438.25 </w:t>
            </w:r>
          </w:p>
        </w:tc>
        <w:tc>
          <w:tcPr>
            <w:tcW w:w="1726" w:type="dxa"/>
            <w:tcBorders>
              <w:top w:val="nil"/>
              <w:left w:val="nil"/>
              <w:bottom w:val="single" w:color="auto" w:sz="4" w:space="0"/>
              <w:right w:val="single" w:color="auto" w:sz="4" w:space="0"/>
            </w:tcBorders>
            <w:shd w:val="clear" w:color="auto" w:fill="auto"/>
            <w:noWrap/>
            <w:vAlign w:val="bottom"/>
          </w:tcPr>
          <w:p w14:paraId="2C311F49">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288172.55 </w:t>
            </w:r>
          </w:p>
        </w:tc>
      </w:tr>
      <w:tr w14:paraId="77D1E6BF">
        <w:tblPrEx>
          <w:tblCellMar>
            <w:top w:w="0" w:type="dxa"/>
            <w:left w:w="108" w:type="dxa"/>
            <w:bottom w:w="0" w:type="dxa"/>
            <w:right w:w="108" w:type="dxa"/>
          </w:tblCellMar>
        </w:tblPrEx>
        <w:trPr>
          <w:trHeight w:val="270" w:hRule="atLeast"/>
        </w:trPr>
        <w:tc>
          <w:tcPr>
            <w:tcW w:w="1451" w:type="dxa"/>
            <w:tcBorders>
              <w:top w:val="nil"/>
              <w:left w:val="single" w:color="auto" w:sz="4" w:space="0"/>
              <w:bottom w:val="single" w:color="auto" w:sz="4" w:space="0"/>
              <w:right w:val="single" w:color="auto" w:sz="4" w:space="0"/>
            </w:tcBorders>
            <w:shd w:val="clear" w:color="auto" w:fill="auto"/>
            <w:noWrap/>
            <w:vAlign w:val="bottom"/>
          </w:tcPr>
          <w:p w14:paraId="2D168F69">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JG253M124</w:t>
            </w:r>
          </w:p>
        </w:tc>
        <w:tc>
          <w:tcPr>
            <w:tcW w:w="1779" w:type="dxa"/>
            <w:tcBorders>
              <w:top w:val="nil"/>
              <w:left w:val="nil"/>
              <w:bottom w:val="single" w:color="auto" w:sz="4" w:space="0"/>
              <w:right w:val="single" w:color="auto" w:sz="4" w:space="0"/>
            </w:tcBorders>
            <w:shd w:val="clear" w:color="auto" w:fill="auto"/>
            <w:noWrap/>
            <w:vAlign w:val="bottom"/>
          </w:tcPr>
          <w:p w14:paraId="6A2F2B4F">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299,640,000.00 </w:t>
            </w:r>
          </w:p>
        </w:tc>
        <w:tc>
          <w:tcPr>
            <w:tcW w:w="948" w:type="dxa"/>
            <w:tcBorders>
              <w:top w:val="nil"/>
              <w:left w:val="nil"/>
              <w:bottom w:val="single" w:color="auto" w:sz="4" w:space="0"/>
              <w:right w:val="single" w:color="auto" w:sz="4" w:space="0"/>
            </w:tcBorders>
            <w:shd w:val="clear" w:color="auto" w:fill="auto"/>
            <w:noWrap/>
            <w:vAlign w:val="bottom"/>
          </w:tcPr>
          <w:p w14:paraId="307EC03A">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nil"/>
              <w:left w:val="nil"/>
              <w:bottom w:val="single" w:color="auto" w:sz="4" w:space="0"/>
              <w:right w:val="single" w:color="auto" w:sz="4" w:space="0"/>
            </w:tcBorders>
            <w:shd w:val="clear" w:color="auto" w:fill="auto"/>
            <w:noWrap/>
            <w:vAlign w:val="bottom"/>
          </w:tcPr>
          <w:p w14:paraId="5F1A7BE0">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1.85</w:t>
            </w:r>
          </w:p>
        </w:tc>
        <w:tc>
          <w:tcPr>
            <w:tcW w:w="1704" w:type="dxa"/>
            <w:tcBorders>
              <w:top w:val="nil"/>
              <w:left w:val="nil"/>
              <w:bottom w:val="single" w:color="auto" w:sz="4" w:space="0"/>
              <w:right w:val="single" w:color="auto" w:sz="4" w:space="0"/>
            </w:tcBorders>
            <w:shd w:val="clear" w:color="auto" w:fill="auto"/>
            <w:noWrap/>
            <w:vAlign w:val="bottom"/>
          </w:tcPr>
          <w:p w14:paraId="4C02FE57">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1610667.62 </w:t>
            </w:r>
          </w:p>
        </w:tc>
        <w:tc>
          <w:tcPr>
            <w:tcW w:w="1726" w:type="dxa"/>
            <w:tcBorders>
              <w:top w:val="nil"/>
              <w:left w:val="nil"/>
              <w:bottom w:val="single" w:color="auto" w:sz="4" w:space="0"/>
              <w:right w:val="single" w:color="auto" w:sz="4" w:space="0"/>
            </w:tcBorders>
            <w:shd w:val="clear" w:color="auto" w:fill="auto"/>
            <w:noWrap/>
            <w:vAlign w:val="bottom"/>
          </w:tcPr>
          <w:p w14:paraId="52733BA4">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1565146.38 </w:t>
            </w:r>
          </w:p>
        </w:tc>
      </w:tr>
      <w:tr w14:paraId="3A452B94">
        <w:tblPrEx>
          <w:tblCellMar>
            <w:top w:w="0" w:type="dxa"/>
            <w:left w:w="108" w:type="dxa"/>
            <w:bottom w:w="0" w:type="dxa"/>
            <w:right w:w="108" w:type="dxa"/>
          </w:tblCellMar>
        </w:tblPrEx>
        <w:trPr>
          <w:trHeight w:val="270" w:hRule="atLeast"/>
        </w:trPr>
        <w:tc>
          <w:tcPr>
            <w:tcW w:w="1451" w:type="dxa"/>
            <w:tcBorders>
              <w:top w:val="nil"/>
              <w:left w:val="single" w:color="auto" w:sz="4" w:space="0"/>
              <w:bottom w:val="single" w:color="auto" w:sz="4" w:space="0"/>
              <w:right w:val="single" w:color="auto" w:sz="4" w:space="0"/>
            </w:tcBorders>
            <w:shd w:val="clear" w:color="auto" w:fill="auto"/>
            <w:noWrap/>
            <w:vAlign w:val="bottom"/>
          </w:tcPr>
          <w:p w14:paraId="0816DC78">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JG253M126</w:t>
            </w:r>
          </w:p>
        </w:tc>
        <w:tc>
          <w:tcPr>
            <w:tcW w:w="1779" w:type="dxa"/>
            <w:tcBorders>
              <w:top w:val="nil"/>
              <w:left w:val="nil"/>
              <w:bottom w:val="single" w:color="auto" w:sz="4" w:space="0"/>
              <w:right w:val="single" w:color="auto" w:sz="4" w:space="0"/>
            </w:tcBorders>
            <w:shd w:val="clear" w:color="auto" w:fill="auto"/>
            <w:noWrap/>
            <w:vAlign w:val="bottom"/>
          </w:tcPr>
          <w:p w14:paraId="6A464D76">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299,796,000.00 </w:t>
            </w:r>
          </w:p>
        </w:tc>
        <w:tc>
          <w:tcPr>
            <w:tcW w:w="948" w:type="dxa"/>
            <w:tcBorders>
              <w:top w:val="nil"/>
              <w:left w:val="nil"/>
              <w:bottom w:val="single" w:color="auto" w:sz="4" w:space="0"/>
              <w:right w:val="single" w:color="auto" w:sz="4" w:space="0"/>
            </w:tcBorders>
            <w:shd w:val="clear" w:color="auto" w:fill="auto"/>
            <w:noWrap/>
            <w:vAlign w:val="bottom"/>
          </w:tcPr>
          <w:p w14:paraId="50CCC592">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nil"/>
              <w:left w:val="nil"/>
              <w:bottom w:val="single" w:color="auto" w:sz="4" w:space="0"/>
              <w:right w:val="single" w:color="auto" w:sz="4" w:space="0"/>
            </w:tcBorders>
            <w:shd w:val="clear" w:color="auto" w:fill="auto"/>
            <w:noWrap/>
            <w:vAlign w:val="bottom"/>
          </w:tcPr>
          <w:p w14:paraId="496824D6">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1.85</w:t>
            </w:r>
          </w:p>
        </w:tc>
        <w:tc>
          <w:tcPr>
            <w:tcW w:w="1704" w:type="dxa"/>
            <w:tcBorders>
              <w:top w:val="nil"/>
              <w:left w:val="nil"/>
              <w:bottom w:val="single" w:color="auto" w:sz="4" w:space="0"/>
              <w:right w:val="single" w:color="auto" w:sz="4" w:space="0"/>
            </w:tcBorders>
            <w:shd w:val="clear" w:color="auto" w:fill="auto"/>
            <w:noWrap/>
            <w:vAlign w:val="bottom"/>
          </w:tcPr>
          <w:p w14:paraId="115CFE87">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1596721.71 </w:t>
            </w:r>
          </w:p>
        </w:tc>
        <w:tc>
          <w:tcPr>
            <w:tcW w:w="1726" w:type="dxa"/>
            <w:tcBorders>
              <w:top w:val="nil"/>
              <w:left w:val="nil"/>
              <w:bottom w:val="single" w:color="auto" w:sz="4" w:space="0"/>
              <w:right w:val="single" w:color="auto" w:sz="4" w:space="0"/>
            </w:tcBorders>
            <w:shd w:val="clear" w:color="auto" w:fill="auto"/>
            <w:noWrap/>
            <w:vAlign w:val="bottom"/>
          </w:tcPr>
          <w:p w14:paraId="46B1AF3F">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1551905.12 </w:t>
            </w:r>
          </w:p>
        </w:tc>
      </w:tr>
      <w:tr w14:paraId="3C1FF6C8">
        <w:tblPrEx>
          <w:tblCellMar>
            <w:top w:w="0" w:type="dxa"/>
            <w:left w:w="108" w:type="dxa"/>
            <w:bottom w:w="0" w:type="dxa"/>
            <w:right w:w="108" w:type="dxa"/>
          </w:tblCellMar>
        </w:tblPrEx>
        <w:trPr>
          <w:trHeight w:val="270" w:hRule="atLeast"/>
        </w:trPr>
        <w:tc>
          <w:tcPr>
            <w:tcW w:w="1451" w:type="dxa"/>
            <w:tcBorders>
              <w:top w:val="nil"/>
              <w:left w:val="single" w:color="auto" w:sz="4" w:space="0"/>
              <w:bottom w:val="single" w:color="auto" w:sz="4" w:space="0"/>
              <w:right w:val="single" w:color="auto" w:sz="4" w:space="0"/>
            </w:tcBorders>
            <w:shd w:val="clear" w:color="auto" w:fill="auto"/>
            <w:noWrap/>
            <w:vAlign w:val="bottom"/>
          </w:tcPr>
          <w:p w14:paraId="78D64D3A">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JG253M127</w:t>
            </w:r>
          </w:p>
        </w:tc>
        <w:tc>
          <w:tcPr>
            <w:tcW w:w="1779" w:type="dxa"/>
            <w:tcBorders>
              <w:top w:val="nil"/>
              <w:left w:val="nil"/>
              <w:bottom w:val="single" w:color="auto" w:sz="4" w:space="0"/>
              <w:right w:val="single" w:color="auto" w:sz="4" w:space="0"/>
            </w:tcBorders>
            <w:shd w:val="clear" w:color="auto" w:fill="auto"/>
            <w:noWrap/>
            <w:vAlign w:val="bottom"/>
          </w:tcPr>
          <w:p w14:paraId="5E33A112">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199,555,000.00 </w:t>
            </w:r>
          </w:p>
        </w:tc>
        <w:tc>
          <w:tcPr>
            <w:tcW w:w="948" w:type="dxa"/>
            <w:tcBorders>
              <w:top w:val="nil"/>
              <w:left w:val="nil"/>
              <w:bottom w:val="single" w:color="auto" w:sz="4" w:space="0"/>
              <w:right w:val="single" w:color="auto" w:sz="4" w:space="0"/>
            </w:tcBorders>
            <w:shd w:val="clear" w:color="auto" w:fill="auto"/>
            <w:noWrap/>
            <w:vAlign w:val="bottom"/>
          </w:tcPr>
          <w:p w14:paraId="56E8B21E">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nil"/>
              <w:left w:val="nil"/>
              <w:bottom w:val="single" w:color="auto" w:sz="4" w:space="0"/>
              <w:right w:val="single" w:color="auto" w:sz="4" w:space="0"/>
            </w:tcBorders>
            <w:shd w:val="clear" w:color="auto" w:fill="auto"/>
            <w:noWrap/>
            <w:vAlign w:val="bottom"/>
          </w:tcPr>
          <w:p w14:paraId="327BB000">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1.85</w:t>
            </w:r>
          </w:p>
        </w:tc>
        <w:tc>
          <w:tcPr>
            <w:tcW w:w="1704" w:type="dxa"/>
            <w:tcBorders>
              <w:top w:val="nil"/>
              <w:left w:val="nil"/>
              <w:bottom w:val="single" w:color="auto" w:sz="4" w:space="0"/>
              <w:right w:val="single" w:color="auto" w:sz="4" w:space="0"/>
            </w:tcBorders>
            <w:shd w:val="clear" w:color="auto" w:fill="auto"/>
            <w:noWrap/>
            <w:vAlign w:val="bottom"/>
          </w:tcPr>
          <w:p w14:paraId="78FCC796">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1062835.40 </w:t>
            </w:r>
          </w:p>
        </w:tc>
        <w:tc>
          <w:tcPr>
            <w:tcW w:w="1726" w:type="dxa"/>
            <w:tcBorders>
              <w:top w:val="nil"/>
              <w:left w:val="nil"/>
              <w:bottom w:val="single" w:color="auto" w:sz="4" w:space="0"/>
              <w:right w:val="single" w:color="auto" w:sz="4" w:space="0"/>
            </w:tcBorders>
            <w:shd w:val="clear" w:color="auto" w:fill="auto"/>
            <w:noWrap/>
            <w:vAlign w:val="bottom"/>
          </w:tcPr>
          <w:p w14:paraId="5188468F">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1034862.82 </w:t>
            </w:r>
          </w:p>
        </w:tc>
      </w:tr>
      <w:tr w14:paraId="0EC12B62">
        <w:tblPrEx>
          <w:tblCellMar>
            <w:top w:w="0" w:type="dxa"/>
            <w:left w:w="108" w:type="dxa"/>
            <w:bottom w:w="0" w:type="dxa"/>
            <w:right w:w="108" w:type="dxa"/>
          </w:tblCellMar>
        </w:tblPrEx>
        <w:trPr>
          <w:trHeight w:val="270" w:hRule="atLeast"/>
        </w:trPr>
        <w:tc>
          <w:tcPr>
            <w:tcW w:w="1451" w:type="dxa"/>
            <w:tcBorders>
              <w:top w:val="nil"/>
              <w:left w:val="single" w:color="auto" w:sz="4" w:space="0"/>
              <w:bottom w:val="single" w:color="auto" w:sz="4" w:space="0"/>
              <w:right w:val="single" w:color="auto" w:sz="4" w:space="0"/>
            </w:tcBorders>
            <w:shd w:val="clear" w:color="auto" w:fill="auto"/>
            <w:noWrap/>
            <w:vAlign w:val="bottom"/>
          </w:tcPr>
          <w:p w14:paraId="252C1C3A">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JG253M133</w:t>
            </w:r>
          </w:p>
        </w:tc>
        <w:tc>
          <w:tcPr>
            <w:tcW w:w="1779" w:type="dxa"/>
            <w:tcBorders>
              <w:top w:val="nil"/>
              <w:left w:val="nil"/>
              <w:bottom w:val="single" w:color="auto" w:sz="4" w:space="0"/>
              <w:right w:val="single" w:color="auto" w:sz="4" w:space="0"/>
            </w:tcBorders>
            <w:shd w:val="clear" w:color="auto" w:fill="auto"/>
            <w:noWrap/>
            <w:vAlign w:val="bottom"/>
          </w:tcPr>
          <w:p w14:paraId="67B4E91E">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174,677,000.00 </w:t>
            </w:r>
          </w:p>
        </w:tc>
        <w:tc>
          <w:tcPr>
            <w:tcW w:w="948" w:type="dxa"/>
            <w:tcBorders>
              <w:top w:val="nil"/>
              <w:left w:val="nil"/>
              <w:bottom w:val="single" w:color="auto" w:sz="4" w:space="0"/>
              <w:right w:val="single" w:color="auto" w:sz="4" w:space="0"/>
            </w:tcBorders>
            <w:shd w:val="clear" w:color="auto" w:fill="auto"/>
            <w:noWrap/>
            <w:vAlign w:val="bottom"/>
          </w:tcPr>
          <w:p w14:paraId="380DE9EF">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nil"/>
              <w:left w:val="nil"/>
              <w:bottom w:val="single" w:color="auto" w:sz="4" w:space="0"/>
              <w:right w:val="single" w:color="auto" w:sz="4" w:space="0"/>
            </w:tcBorders>
            <w:shd w:val="clear" w:color="auto" w:fill="auto"/>
            <w:noWrap/>
            <w:vAlign w:val="bottom"/>
          </w:tcPr>
          <w:p w14:paraId="23AA6437">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1.8</w:t>
            </w:r>
          </w:p>
        </w:tc>
        <w:tc>
          <w:tcPr>
            <w:tcW w:w="1704" w:type="dxa"/>
            <w:tcBorders>
              <w:top w:val="nil"/>
              <w:left w:val="nil"/>
              <w:bottom w:val="single" w:color="auto" w:sz="4" w:space="0"/>
              <w:right w:val="single" w:color="auto" w:sz="4" w:space="0"/>
            </w:tcBorders>
            <w:shd w:val="clear" w:color="auto" w:fill="auto"/>
            <w:noWrap/>
            <w:vAlign w:val="bottom"/>
          </w:tcPr>
          <w:p w14:paraId="55376FB5">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991064.66 </w:t>
            </w:r>
          </w:p>
        </w:tc>
        <w:tc>
          <w:tcPr>
            <w:tcW w:w="1726" w:type="dxa"/>
            <w:tcBorders>
              <w:top w:val="nil"/>
              <w:left w:val="nil"/>
              <w:bottom w:val="single" w:color="auto" w:sz="4" w:space="0"/>
              <w:right w:val="single" w:color="auto" w:sz="4" w:space="0"/>
            </w:tcBorders>
            <w:shd w:val="clear" w:color="auto" w:fill="auto"/>
            <w:noWrap/>
            <w:vAlign w:val="bottom"/>
          </w:tcPr>
          <w:p w14:paraId="17D439BE">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965764.38 </w:t>
            </w:r>
          </w:p>
        </w:tc>
      </w:tr>
      <w:tr w14:paraId="11A29A16">
        <w:tblPrEx>
          <w:tblCellMar>
            <w:top w:w="0" w:type="dxa"/>
            <w:left w:w="108" w:type="dxa"/>
            <w:bottom w:w="0" w:type="dxa"/>
            <w:right w:w="108" w:type="dxa"/>
          </w:tblCellMar>
        </w:tblPrEx>
        <w:trPr>
          <w:trHeight w:val="270" w:hRule="atLeast"/>
        </w:trPr>
        <w:tc>
          <w:tcPr>
            <w:tcW w:w="1451" w:type="dxa"/>
            <w:tcBorders>
              <w:top w:val="nil"/>
              <w:left w:val="single" w:color="auto" w:sz="4" w:space="0"/>
              <w:bottom w:val="single" w:color="auto" w:sz="4" w:space="0"/>
              <w:right w:val="single" w:color="auto" w:sz="4" w:space="0"/>
            </w:tcBorders>
            <w:shd w:val="clear" w:color="auto" w:fill="auto"/>
            <w:noWrap/>
            <w:vAlign w:val="bottom"/>
          </w:tcPr>
          <w:p w14:paraId="53E1E62F">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JG253M135</w:t>
            </w:r>
          </w:p>
        </w:tc>
        <w:tc>
          <w:tcPr>
            <w:tcW w:w="1779" w:type="dxa"/>
            <w:tcBorders>
              <w:top w:val="nil"/>
              <w:left w:val="nil"/>
              <w:bottom w:val="single" w:color="auto" w:sz="4" w:space="0"/>
              <w:right w:val="single" w:color="auto" w:sz="4" w:space="0"/>
            </w:tcBorders>
            <w:shd w:val="clear" w:color="auto" w:fill="auto"/>
            <w:noWrap/>
            <w:vAlign w:val="bottom"/>
          </w:tcPr>
          <w:p w14:paraId="30F2A6C1">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113,861,000.00 </w:t>
            </w:r>
          </w:p>
        </w:tc>
        <w:tc>
          <w:tcPr>
            <w:tcW w:w="948" w:type="dxa"/>
            <w:tcBorders>
              <w:top w:val="nil"/>
              <w:left w:val="nil"/>
              <w:bottom w:val="single" w:color="auto" w:sz="4" w:space="0"/>
              <w:right w:val="single" w:color="auto" w:sz="4" w:space="0"/>
            </w:tcBorders>
            <w:shd w:val="clear" w:color="auto" w:fill="auto"/>
            <w:noWrap/>
            <w:vAlign w:val="bottom"/>
          </w:tcPr>
          <w:p w14:paraId="7F1A184D">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nil"/>
              <w:left w:val="nil"/>
              <w:bottom w:val="single" w:color="auto" w:sz="4" w:space="0"/>
              <w:right w:val="single" w:color="auto" w:sz="4" w:space="0"/>
            </w:tcBorders>
            <w:shd w:val="clear" w:color="auto" w:fill="auto"/>
            <w:noWrap/>
            <w:vAlign w:val="bottom"/>
          </w:tcPr>
          <w:p w14:paraId="6810EB41">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1.8</w:t>
            </w:r>
          </w:p>
        </w:tc>
        <w:tc>
          <w:tcPr>
            <w:tcW w:w="1704" w:type="dxa"/>
            <w:tcBorders>
              <w:top w:val="nil"/>
              <w:left w:val="nil"/>
              <w:bottom w:val="single" w:color="auto" w:sz="4" w:space="0"/>
              <w:right w:val="single" w:color="auto" w:sz="4" w:space="0"/>
            </w:tcBorders>
            <w:shd w:val="clear" w:color="auto" w:fill="auto"/>
            <w:noWrap/>
            <w:vAlign w:val="bottom"/>
          </w:tcPr>
          <w:p w14:paraId="3E175AA5">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646013.00 </w:t>
            </w:r>
          </w:p>
        </w:tc>
        <w:tc>
          <w:tcPr>
            <w:tcW w:w="1726" w:type="dxa"/>
            <w:tcBorders>
              <w:top w:val="nil"/>
              <w:left w:val="nil"/>
              <w:bottom w:val="single" w:color="auto" w:sz="4" w:space="0"/>
              <w:right w:val="single" w:color="auto" w:sz="4" w:space="0"/>
            </w:tcBorders>
            <w:shd w:val="clear" w:color="auto" w:fill="auto"/>
            <w:noWrap/>
            <w:vAlign w:val="bottom"/>
          </w:tcPr>
          <w:p w14:paraId="3B208EFF">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628933.59 </w:t>
            </w:r>
          </w:p>
        </w:tc>
      </w:tr>
      <w:tr w14:paraId="56061EE1">
        <w:tblPrEx>
          <w:tblCellMar>
            <w:top w:w="0" w:type="dxa"/>
            <w:left w:w="108" w:type="dxa"/>
            <w:bottom w:w="0" w:type="dxa"/>
            <w:right w:w="108" w:type="dxa"/>
          </w:tblCellMar>
        </w:tblPrEx>
        <w:trPr>
          <w:trHeight w:val="270" w:hRule="atLeast"/>
        </w:trPr>
        <w:tc>
          <w:tcPr>
            <w:tcW w:w="1451" w:type="dxa"/>
            <w:tcBorders>
              <w:top w:val="nil"/>
              <w:left w:val="single" w:color="auto" w:sz="4" w:space="0"/>
              <w:bottom w:val="single" w:color="auto" w:sz="4" w:space="0"/>
              <w:right w:val="single" w:color="auto" w:sz="4" w:space="0"/>
            </w:tcBorders>
            <w:shd w:val="clear" w:color="auto" w:fill="auto"/>
            <w:noWrap/>
            <w:vAlign w:val="bottom"/>
          </w:tcPr>
          <w:p w14:paraId="2F97A623">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JG253M137</w:t>
            </w:r>
          </w:p>
        </w:tc>
        <w:tc>
          <w:tcPr>
            <w:tcW w:w="1779" w:type="dxa"/>
            <w:tcBorders>
              <w:top w:val="nil"/>
              <w:left w:val="nil"/>
              <w:bottom w:val="single" w:color="auto" w:sz="4" w:space="0"/>
              <w:right w:val="single" w:color="auto" w:sz="4" w:space="0"/>
            </w:tcBorders>
            <w:shd w:val="clear" w:color="auto" w:fill="auto"/>
            <w:noWrap/>
            <w:vAlign w:val="bottom"/>
          </w:tcPr>
          <w:p w14:paraId="501E30B6">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99,020,000.00 </w:t>
            </w:r>
          </w:p>
        </w:tc>
        <w:tc>
          <w:tcPr>
            <w:tcW w:w="948" w:type="dxa"/>
            <w:tcBorders>
              <w:top w:val="nil"/>
              <w:left w:val="nil"/>
              <w:bottom w:val="single" w:color="auto" w:sz="4" w:space="0"/>
              <w:right w:val="single" w:color="auto" w:sz="4" w:space="0"/>
            </w:tcBorders>
            <w:shd w:val="clear" w:color="auto" w:fill="auto"/>
            <w:noWrap/>
            <w:vAlign w:val="bottom"/>
          </w:tcPr>
          <w:p w14:paraId="1D465410">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nil"/>
              <w:left w:val="nil"/>
              <w:bottom w:val="single" w:color="auto" w:sz="4" w:space="0"/>
              <w:right w:val="single" w:color="auto" w:sz="4" w:space="0"/>
            </w:tcBorders>
            <w:shd w:val="clear" w:color="auto" w:fill="auto"/>
            <w:noWrap/>
            <w:vAlign w:val="bottom"/>
          </w:tcPr>
          <w:p w14:paraId="101CE49E">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1.8</w:t>
            </w:r>
          </w:p>
        </w:tc>
        <w:tc>
          <w:tcPr>
            <w:tcW w:w="1704" w:type="dxa"/>
            <w:tcBorders>
              <w:top w:val="nil"/>
              <w:left w:val="nil"/>
              <w:bottom w:val="single" w:color="auto" w:sz="4" w:space="0"/>
              <w:right w:val="single" w:color="auto" w:sz="4" w:space="0"/>
            </w:tcBorders>
            <w:shd w:val="clear" w:color="auto" w:fill="auto"/>
            <w:noWrap/>
            <w:vAlign w:val="bottom"/>
          </w:tcPr>
          <w:p w14:paraId="67B50684">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561809.64 </w:t>
            </w:r>
          </w:p>
        </w:tc>
        <w:tc>
          <w:tcPr>
            <w:tcW w:w="1726" w:type="dxa"/>
            <w:tcBorders>
              <w:top w:val="nil"/>
              <w:left w:val="nil"/>
              <w:bottom w:val="single" w:color="auto" w:sz="4" w:space="0"/>
              <w:right w:val="single" w:color="auto" w:sz="4" w:space="0"/>
            </w:tcBorders>
            <w:shd w:val="clear" w:color="auto" w:fill="auto"/>
            <w:noWrap/>
            <w:vAlign w:val="bottom"/>
          </w:tcPr>
          <w:p w14:paraId="4585DA76">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545537.55 </w:t>
            </w:r>
          </w:p>
        </w:tc>
      </w:tr>
      <w:tr w14:paraId="71B5949F">
        <w:tblPrEx>
          <w:tblCellMar>
            <w:top w:w="0" w:type="dxa"/>
            <w:left w:w="108" w:type="dxa"/>
            <w:bottom w:w="0" w:type="dxa"/>
            <w:right w:w="108" w:type="dxa"/>
          </w:tblCellMar>
        </w:tblPrEx>
        <w:trPr>
          <w:trHeight w:val="270" w:hRule="atLeast"/>
        </w:trPr>
        <w:tc>
          <w:tcPr>
            <w:tcW w:w="1451" w:type="dxa"/>
            <w:tcBorders>
              <w:top w:val="nil"/>
              <w:left w:val="single" w:color="auto" w:sz="4" w:space="0"/>
              <w:bottom w:val="single" w:color="auto" w:sz="4" w:space="0"/>
              <w:right w:val="single" w:color="auto" w:sz="4" w:space="0"/>
            </w:tcBorders>
            <w:shd w:val="clear" w:color="auto" w:fill="auto"/>
            <w:noWrap/>
            <w:vAlign w:val="bottom"/>
          </w:tcPr>
          <w:p w14:paraId="2BE36A57">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JG253M139</w:t>
            </w:r>
          </w:p>
        </w:tc>
        <w:tc>
          <w:tcPr>
            <w:tcW w:w="1779" w:type="dxa"/>
            <w:tcBorders>
              <w:top w:val="nil"/>
              <w:left w:val="nil"/>
              <w:bottom w:val="single" w:color="auto" w:sz="4" w:space="0"/>
              <w:right w:val="single" w:color="auto" w:sz="4" w:space="0"/>
            </w:tcBorders>
            <w:shd w:val="clear" w:color="auto" w:fill="auto"/>
            <w:noWrap/>
            <w:vAlign w:val="bottom"/>
          </w:tcPr>
          <w:p w14:paraId="7B83CD5C">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72,863,000.00 </w:t>
            </w:r>
          </w:p>
        </w:tc>
        <w:tc>
          <w:tcPr>
            <w:tcW w:w="948" w:type="dxa"/>
            <w:tcBorders>
              <w:top w:val="nil"/>
              <w:left w:val="nil"/>
              <w:bottom w:val="single" w:color="auto" w:sz="4" w:space="0"/>
              <w:right w:val="single" w:color="auto" w:sz="4" w:space="0"/>
            </w:tcBorders>
            <w:shd w:val="clear" w:color="auto" w:fill="auto"/>
            <w:noWrap/>
            <w:vAlign w:val="bottom"/>
          </w:tcPr>
          <w:p w14:paraId="20A582FE">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nil"/>
              <w:left w:val="nil"/>
              <w:bottom w:val="single" w:color="auto" w:sz="4" w:space="0"/>
              <w:right w:val="single" w:color="auto" w:sz="4" w:space="0"/>
            </w:tcBorders>
            <w:shd w:val="clear" w:color="auto" w:fill="auto"/>
            <w:noWrap/>
            <w:vAlign w:val="bottom"/>
          </w:tcPr>
          <w:p w14:paraId="4D07B43D">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1.8</w:t>
            </w:r>
          </w:p>
        </w:tc>
        <w:tc>
          <w:tcPr>
            <w:tcW w:w="1704" w:type="dxa"/>
            <w:tcBorders>
              <w:top w:val="nil"/>
              <w:left w:val="nil"/>
              <w:bottom w:val="single" w:color="auto" w:sz="4" w:space="0"/>
              <w:right w:val="single" w:color="auto" w:sz="4" w:space="0"/>
            </w:tcBorders>
            <w:shd w:val="clear" w:color="auto" w:fill="auto"/>
            <w:noWrap/>
            <w:vAlign w:val="bottom"/>
          </w:tcPr>
          <w:p w14:paraId="5A62CF76">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413402.70 </w:t>
            </w:r>
          </w:p>
        </w:tc>
        <w:tc>
          <w:tcPr>
            <w:tcW w:w="1726" w:type="dxa"/>
            <w:tcBorders>
              <w:top w:val="nil"/>
              <w:left w:val="nil"/>
              <w:bottom w:val="single" w:color="auto" w:sz="4" w:space="0"/>
              <w:right w:val="single" w:color="auto" w:sz="4" w:space="0"/>
            </w:tcBorders>
            <w:shd w:val="clear" w:color="auto" w:fill="auto"/>
            <w:noWrap/>
            <w:vAlign w:val="bottom"/>
          </w:tcPr>
          <w:p w14:paraId="38A5A4A8">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402213.00 </w:t>
            </w:r>
          </w:p>
        </w:tc>
      </w:tr>
      <w:tr w14:paraId="318AEA47">
        <w:tblPrEx>
          <w:tblCellMar>
            <w:top w:w="0" w:type="dxa"/>
            <w:left w:w="108" w:type="dxa"/>
            <w:bottom w:w="0" w:type="dxa"/>
            <w:right w:w="108" w:type="dxa"/>
          </w:tblCellMar>
        </w:tblPrEx>
        <w:trPr>
          <w:trHeight w:val="270" w:hRule="atLeast"/>
        </w:trPr>
        <w:tc>
          <w:tcPr>
            <w:tcW w:w="1451" w:type="dxa"/>
            <w:tcBorders>
              <w:top w:val="nil"/>
              <w:left w:val="single" w:color="auto" w:sz="4" w:space="0"/>
              <w:bottom w:val="single" w:color="auto" w:sz="4" w:space="0"/>
              <w:right w:val="single" w:color="auto" w:sz="4" w:space="0"/>
            </w:tcBorders>
            <w:shd w:val="clear" w:color="auto" w:fill="auto"/>
            <w:noWrap/>
            <w:vAlign w:val="bottom"/>
          </w:tcPr>
          <w:p w14:paraId="38742FC6">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JG253M142</w:t>
            </w:r>
          </w:p>
        </w:tc>
        <w:tc>
          <w:tcPr>
            <w:tcW w:w="1779" w:type="dxa"/>
            <w:tcBorders>
              <w:top w:val="nil"/>
              <w:left w:val="nil"/>
              <w:bottom w:val="single" w:color="auto" w:sz="4" w:space="0"/>
              <w:right w:val="single" w:color="auto" w:sz="4" w:space="0"/>
            </w:tcBorders>
            <w:shd w:val="clear" w:color="auto" w:fill="auto"/>
            <w:noWrap/>
            <w:vAlign w:val="bottom"/>
          </w:tcPr>
          <w:p w14:paraId="123E7B85">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110,977,000.00 </w:t>
            </w:r>
          </w:p>
        </w:tc>
        <w:tc>
          <w:tcPr>
            <w:tcW w:w="948" w:type="dxa"/>
            <w:tcBorders>
              <w:top w:val="nil"/>
              <w:left w:val="nil"/>
              <w:bottom w:val="single" w:color="auto" w:sz="4" w:space="0"/>
              <w:right w:val="single" w:color="auto" w:sz="4" w:space="0"/>
            </w:tcBorders>
            <w:shd w:val="clear" w:color="auto" w:fill="auto"/>
            <w:noWrap/>
            <w:vAlign w:val="bottom"/>
          </w:tcPr>
          <w:p w14:paraId="6B1CF22B">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nil"/>
              <w:left w:val="nil"/>
              <w:bottom w:val="single" w:color="auto" w:sz="4" w:space="0"/>
              <w:right w:val="single" w:color="auto" w:sz="4" w:space="0"/>
            </w:tcBorders>
            <w:shd w:val="clear" w:color="auto" w:fill="auto"/>
            <w:noWrap/>
            <w:vAlign w:val="bottom"/>
          </w:tcPr>
          <w:p w14:paraId="11BC4D00">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1.8</w:t>
            </w:r>
          </w:p>
        </w:tc>
        <w:tc>
          <w:tcPr>
            <w:tcW w:w="1704" w:type="dxa"/>
            <w:tcBorders>
              <w:top w:val="nil"/>
              <w:left w:val="nil"/>
              <w:bottom w:val="single" w:color="auto" w:sz="4" w:space="0"/>
              <w:right w:val="single" w:color="auto" w:sz="4" w:space="0"/>
            </w:tcBorders>
            <w:shd w:val="clear" w:color="auto" w:fill="auto"/>
            <w:noWrap/>
            <w:vAlign w:val="bottom"/>
          </w:tcPr>
          <w:p w14:paraId="0F074C5F">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613642.00 </w:t>
            </w:r>
          </w:p>
        </w:tc>
        <w:tc>
          <w:tcPr>
            <w:tcW w:w="1726" w:type="dxa"/>
            <w:tcBorders>
              <w:top w:val="nil"/>
              <w:left w:val="nil"/>
              <w:bottom w:val="single" w:color="auto" w:sz="4" w:space="0"/>
              <w:right w:val="single" w:color="auto" w:sz="4" w:space="0"/>
            </w:tcBorders>
            <w:shd w:val="clear" w:color="auto" w:fill="auto"/>
            <w:noWrap/>
            <w:vAlign w:val="bottom"/>
          </w:tcPr>
          <w:p w14:paraId="36ABD615">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598733.09 </w:t>
            </w:r>
          </w:p>
        </w:tc>
      </w:tr>
      <w:tr w14:paraId="2DE210AF">
        <w:tblPrEx>
          <w:tblCellMar>
            <w:top w:w="0" w:type="dxa"/>
            <w:left w:w="108" w:type="dxa"/>
            <w:bottom w:w="0" w:type="dxa"/>
            <w:right w:w="108" w:type="dxa"/>
          </w:tblCellMar>
        </w:tblPrEx>
        <w:trPr>
          <w:trHeight w:val="270" w:hRule="atLeast"/>
        </w:trPr>
        <w:tc>
          <w:tcPr>
            <w:tcW w:w="1451" w:type="dxa"/>
            <w:tcBorders>
              <w:top w:val="nil"/>
              <w:left w:val="single" w:color="auto" w:sz="4" w:space="0"/>
              <w:bottom w:val="single" w:color="auto" w:sz="4" w:space="0"/>
              <w:right w:val="single" w:color="auto" w:sz="4" w:space="0"/>
            </w:tcBorders>
            <w:shd w:val="clear" w:color="auto" w:fill="auto"/>
            <w:noWrap/>
            <w:vAlign w:val="bottom"/>
          </w:tcPr>
          <w:p w14:paraId="1532D4DA">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JG253M144</w:t>
            </w:r>
          </w:p>
        </w:tc>
        <w:tc>
          <w:tcPr>
            <w:tcW w:w="1779" w:type="dxa"/>
            <w:tcBorders>
              <w:top w:val="nil"/>
              <w:left w:val="nil"/>
              <w:bottom w:val="single" w:color="auto" w:sz="4" w:space="0"/>
              <w:right w:val="single" w:color="auto" w:sz="4" w:space="0"/>
            </w:tcBorders>
            <w:shd w:val="clear" w:color="auto" w:fill="auto"/>
            <w:noWrap/>
            <w:vAlign w:val="bottom"/>
          </w:tcPr>
          <w:p w14:paraId="79E588A3">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46,810,000.00 </w:t>
            </w:r>
          </w:p>
        </w:tc>
        <w:tc>
          <w:tcPr>
            <w:tcW w:w="948" w:type="dxa"/>
            <w:tcBorders>
              <w:top w:val="nil"/>
              <w:left w:val="nil"/>
              <w:bottom w:val="single" w:color="auto" w:sz="4" w:space="0"/>
              <w:right w:val="single" w:color="auto" w:sz="4" w:space="0"/>
            </w:tcBorders>
            <w:shd w:val="clear" w:color="auto" w:fill="auto"/>
            <w:noWrap/>
            <w:vAlign w:val="bottom"/>
          </w:tcPr>
          <w:p w14:paraId="6E950F96">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nil"/>
              <w:left w:val="nil"/>
              <w:bottom w:val="single" w:color="auto" w:sz="4" w:space="0"/>
              <w:right w:val="single" w:color="auto" w:sz="4" w:space="0"/>
            </w:tcBorders>
            <w:shd w:val="clear" w:color="auto" w:fill="auto"/>
            <w:noWrap/>
            <w:vAlign w:val="bottom"/>
          </w:tcPr>
          <w:p w14:paraId="468946B6">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1.8</w:t>
            </w:r>
          </w:p>
        </w:tc>
        <w:tc>
          <w:tcPr>
            <w:tcW w:w="1704" w:type="dxa"/>
            <w:tcBorders>
              <w:top w:val="nil"/>
              <w:left w:val="nil"/>
              <w:bottom w:val="single" w:color="auto" w:sz="4" w:space="0"/>
              <w:right w:val="single" w:color="auto" w:sz="4" w:space="0"/>
            </w:tcBorders>
            <w:shd w:val="clear" w:color="auto" w:fill="auto"/>
            <w:noWrap/>
            <w:vAlign w:val="bottom"/>
          </w:tcPr>
          <w:p w14:paraId="6A894DF7">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240827.83 </w:t>
            </w:r>
          </w:p>
        </w:tc>
        <w:tc>
          <w:tcPr>
            <w:tcW w:w="1726" w:type="dxa"/>
            <w:tcBorders>
              <w:top w:val="nil"/>
              <w:left w:val="nil"/>
              <w:bottom w:val="single" w:color="auto" w:sz="4" w:space="0"/>
              <w:right w:val="single" w:color="auto" w:sz="4" w:space="0"/>
            </w:tcBorders>
            <w:shd w:val="clear" w:color="auto" w:fill="auto"/>
            <w:noWrap/>
            <w:vAlign w:val="bottom"/>
          </w:tcPr>
          <w:p w14:paraId="19833F74">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235335.47 </w:t>
            </w:r>
          </w:p>
        </w:tc>
      </w:tr>
      <w:tr w14:paraId="6177E727">
        <w:tblPrEx>
          <w:tblCellMar>
            <w:top w:w="0" w:type="dxa"/>
            <w:left w:w="108" w:type="dxa"/>
            <w:bottom w:w="0" w:type="dxa"/>
            <w:right w:w="108" w:type="dxa"/>
          </w:tblCellMar>
        </w:tblPrEx>
        <w:trPr>
          <w:trHeight w:val="270" w:hRule="atLeast"/>
        </w:trPr>
        <w:tc>
          <w:tcPr>
            <w:tcW w:w="1451" w:type="dxa"/>
            <w:tcBorders>
              <w:top w:val="nil"/>
              <w:left w:val="single" w:color="auto" w:sz="4" w:space="0"/>
              <w:bottom w:val="single" w:color="auto" w:sz="4" w:space="0"/>
              <w:right w:val="single" w:color="auto" w:sz="4" w:space="0"/>
            </w:tcBorders>
            <w:shd w:val="clear" w:color="auto" w:fill="auto"/>
            <w:noWrap/>
            <w:vAlign w:val="bottom"/>
          </w:tcPr>
          <w:p w14:paraId="254BF4CE">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JG253M149</w:t>
            </w:r>
          </w:p>
        </w:tc>
        <w:tc>
          <w:tcPr>
            <w:tcW w:w="1779" w:type="dxa"/>
            <w:tcBorders>
              <w:top w:val="nil"/>
              <w:left w:val="nil"/>
              <w:bottom w:val="single" w:color="auto" w:sz="4" w:space="0"/>
              <w:right w:val="single" w:color="auto" w:sz="4" w:space="0"/>
            </w:tcBorders>
            <w:shd w:val="clear" w:color="auto" w:fill="auto"/>
            <w:noWrap/>
            <w:vAlign w:val="bottom"/>
          </w:tcPr>
          <w:p w14:paraId="5AD92091">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49,900,000.00 </w:t>
            </w:r>
          </w:p>
        </w:tc>
        <w:tc>
          <w:tcPr>
            <w:tcW w:w="948" w:type="dxa"/>
            <w:tcBorders>
              <w:top w:val="nil"/>
              <w:left w:val="nil"/>
              <w:bottom w:val="single" w:color="auto" w:sz="4" w:space="0"/>
              <w:right w:val="single" w:color="auto" w:sz="4" w:space="0"/>
            </w:tcBorders>
            <w:shd w:val="clear" w:color="auto" w:fill="auto"/>
            <w:noWrap/>
            <w:vAlign w:val="bottom"/>
          </w:tcPr>
          <w:p w14:paraId="61CF6C1D">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nil"/>
              <w:left w:val="nil"/>
              <w:bottom w:val="single" w:color="auto" w:sz="4" w:space="0"/>
              <w:right w:val="single" w:color="auto" w:sz="4" w:space="0"/>
            </w:tcBorders>
            <w:shd w:val="clear" w:color="auto" w:fill="auto"/>
            <w:noWrap/>
            <w:vAlign w:val="bottom"/>
          </w:tcPr>
          <w:p w14:paraId="4AABF00B">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1.8</w:t>
            </w:r>
          </w:p>
        </w:tc>
        <w:tc>
          <w:tcPr>
            <w:tcW w:w="1704" w:type="dxa"/>
            <w:tcBorders>
              <w:top w:val="nil"/>
              <w:left w:val="nil"/>
              <w:bottom w:val="single" w:color="auto" w:sz="4" w:space="0"/>
              <w:right w:val="single" w:color="auto" w:sz="4" w:space="0"/>
            </w:tcBorders>
            <w:shd w:val="clear" w:color="auto" w:fill="auto"/>
            <w:noWrap/>
            <w:vAlign w:val="bottom"/>
          </w:tcPr>
          <w:p w14:paraId="5BAB3272">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280718.26 </w:t>
            </w:r>
          </w:p>
        </w:tc>
        <w:tc>
          <w:tcPr>
            <w:tcW w:w="1726" w:type="dxa"/>
            <w:tcBorders>
              <w:top w:val="nil"/>
              <w:left w:val="nil"/>
              <w:bottom w:val="single" w:color="auto" w:sz="4" w:space="0"/>
              <w:right w:val="single" w:color="auto" w:sz="4" w:space="0"/>
            </w:tcBorders>
            <w:shd w:val="clear" w:color="auto" w:fill="auto"/>
            <w:noWrap/>
            <w:vAlign w:val="bottom"/>
          </w:tcPr>
          <w:p w14:paraId="2850F42D">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273038.99 </w:t>
            </w:r>
          </w:p>
        </w:tc>
      </w:tr>
      <w:tr w14:paraId="547ED3F6">
        <w:tblPrEx>
          <w:tblCellMar>
            <w:top w:w="0" w:type="dxa"/>
            <w:left w:w="108" w:type="dxa"/>
            <w:bottom w:w="0" w:type="dxa"/>
            <w:right w:w="108" w:type="dxa"/>
          </w:tblCellMar>
        </w:tblPrEx>
        <w:trPr>
          <w:trHeight w:val="270" w:hRule="atLeast"/>
        </w:trPr>
        <w:tc>
          <w:tcPr>
            <w:tcW w:w="145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4DA0252">
            <w:pPr>
              <w:keepNext w:val="0"/>
              <w:keepLines w:val="0"/>
              <w:widowControl/>
              <w:suppressLineNumbers w:val="0"/>
              <w:jc w:val="left"/>
              <w:textAlignment w:val="bottom"/>
              <w:rPr>
                <w:rFonts w:ascii="Arial" w:hAnsi="Arial" w:cs="Arial"/>
                <w:sz w:val="20"/>
                <w:szCs w:val="20"/>
              </w:rPr>
            </w:pPr>
            <w:r>
              <w:rPr>
                <w:rFonts w:hint="default" w:ascii="Arial" w:hAnsi="Arial" w:eastAsia="宋体" w:cs="Arial"/>
                <w:i w:val="0"/>
                <w:iCs w:val="0"/>
                <w:color w:val="000000"/>
                <w:kern w:val="0"/>
                <w:sz w:val="20"/>
                <w:szCs w:val="20"/>
                <w:u w:val="none"/>
                <w:lang w:val="en-US" w:eastAsia="zh-CN" w:bidi="ar"/>
              </w:rPr>
              <w:t>JG253M150</w:t>
            </w:r>
          </w:p>
        </w:tc>
        <w:tc>
          <w:tcPr>
            <w:tcW w:w="1779"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DFA60CE">
            <w:pPr>
              <w:keepNext w:val="0"/>
              <w:keepLines w:val="0"/>
              <w:widowControl/>
              <w:suppressLineNumbers w:val="0"/>
              <w:jc w:val="left"/>
              <w:textAlignment w:val="bottom"/>
              <w:rPr>
                <w:rFonts w:ascii="Arial" w:hAnsi="Arial" w:cs="Arial"/>
                <w:sz w:val="20"/>
                <w:szCs w:val="20"/>
              </w:rPr>
            </w:pPr>
            <w:r>
              <w:rPr>
                <w:rFonts w:hint="default" w:ascii="Arial" w:hAnsi="Arial" w:eastAsia="宋体" w:cs="Arial"/>
                <w:i w:val="0"/>
                <w:iCs w:val="0"/>
                <w:color w:val="000000"/>
                <w:kern w:val="0"/>
                <w:sz w:val="20"/>
                <w:szCs w:val="20"/>
                <w:u w:val="none"/>
                <w:lang w:val="en-US" w:eastAsia="zh-CN" w:bidi="ar"/>
              </w:rPr>
              <w:t xml:space="preserve"> 109,716,000.00 </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543E652">
            <w:pPr>
              <w:keepNext w:val="0"/>
              <w:keepLines w:val="0"/>
              <w:widowControl/>
              <w:suppressLineNumbers w:val="0"/>
              <w:jc w:val="right"/>
              <w:textAlignment w:val="bottom"/>
              <w:rPr>
                <w:rFonts w:ascii="Arial" w:hAnsi="Arial" w:cs="Arial"/>
                <w:sz w:val="20"/>
                <w:szCs w:val="20"/>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1D033AB">
            <w:pPr>
              <w:keepNext w:val="0"/>
              <w:keepLines w:val="0"/>
              <w:widowControl/>
              <w:suppressLineNumbers w:val="0"/>
              <w:jc w:val="right"/>
              <w:textAlignment w:val="bottom"/>
              <w:rPr>
                <w:rFonts w:ascii="Arial" w:hAnsi="Arial" w:cs="Arial"/>
                <w:sz w:val="20"/>
                <w:szCs w:val="20"/>
              </w:rPr>
            </w:pPr>
            <w:r>
              <w:rPr>
                <w:rFonts w:hint="default" w:ascii="Arial" w:hAnsi="Arial" w:eastAsia="宋体" w:cs="Arial"/>
                <w:i w:val="0"/>
                <w:iCs w:val="0"/>
                <w:color w:val="000000"/>
                <w:kern w:val="0"/>
                <w:sz w:val="20"/>
                <w:szCs w:val="20"/>
                <w:u w:val="none"/>
                <w:lang w:val="en-US" w:eastAsia="zh-CN" w:bidi="ar"/>
              </w:rPr>
              <w:t>1.8</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C4AF1B8">
            <w:pPr>
              <w:keepNext w:val="0"/>
              <w:keepLines w:val="0"/>
              <w:widowControl/>
              <w:suppressLineNumbers w:val="0"/>
              <w:jc w:val="left"/>
              <w:textAlignment w:val="bottom"/>
              <w:rPr>
                <w:rFonts w:ascii="Arial" w:hAnsi="Arial" w:cs="Arial"/>
                <w:sz w:val="20"/>
                <w:szCs w:val="20"/>
              </w:rPr>
            </w:pPr>
            <w:r>
              <w:rPr>
                <w:rFonts w:hint="default" w:ascii="Arial" w:hAnsi="Arial" w:eastAsia="宋体" w:cs="Arial"/>
                <w:i w:val="0"/>
                <w:iCs w:val="0"/>
                <w:color w:val="000000"/>
                <w:kern w:val="0"/>
                <w:sz w:val="20"/>
                <w:szCs w:val="20"/>
                <w:u w:val="none"/>
                <w:lang w:val="en-US" w:eastAsia="zh-CN" w:bidi="ar"/>
              </w:rPr>
              <w:t xml:space="preserve"> 474784.72 </w:t>
            </w:r>
          </w:p>
        </w:tc>
        <w:tc>
          <w:tcPr>
            <w:tcW w:w="172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D496DC6">
            <w:pPr>
              <w:keepNext w:val="0"/>
              <w:keepLines w:val="0"/>
              <w:widowControl/>
              <w:suppressLineNumbers w:val="0"/>
              <w:jc w:val="right"/>
              <w:textAlignment w:val="bottom"/>
              <w:rPr>
                <w:rFonts w:ascii="Arial" w:hAnsi="Arial" w:cs="Arial"/>
                <w:sz w:val="20"/>
                <w:szCs w:val="20"/>
              </w:rPr>
            </w:pPr>
            <w:r>
              <w:rPr>
                <w:rFonts w:hint="default" w:ascii="Arial" w:hAnsi="Arial" w:eastAsia="宋体" w:cs="Arial"/>
                <w:i w:val="0"/>
                <w:iCs w:val="0"/>
                <w:color w:val="000000"/>
                <w:kern w:val="0"/>
                <w:sz w:val="20"/>
                <w:szCs w:val="20"/>
                <w:u w:val="none"/>
                <w:lang w:val="en-US" w:eastAsia="zh-CN" w:bidi="ar"/>
              </w:rPr>
              <w:t xml:space="preserve">461574.13 </w:t>
            </w:r>
          </w:p>
        </w:tc>
      </w:tr>
      <w:tr w14:paraId="7E591A3C">
        <w:tblPrEx>
          <w:tblCellMar>
            <w:top w:w="0" w:type="dxa"/>
            <w:left w:w="108" w:type="dxa"/>
            <w:bottom w:w="0" w:type="dxa"/>
            <w:right w:w="108" w:type="dxa"/>
          </w:tblCellMar>
        </w:tblPrEx>
        <w:trPr>
          <w:trHeight w:val="270" w:hRule="atLeast"/>
        </w:trPr>
        <w:tc>
          <w:tcPr>
            <w:tcW w:w="145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035D798">
            <w:pPr>
              <w:keepNext w:val="0"/>
              <w:keepLines w:val="0"/>
              <w:widowControl/>
              <w:suppressLineNumbers w:val="0"/>
              <w:jc w:val="lef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JG253M153</w:t>
            </w:r>
          </w:p>
        </w:tc>
        <w:tc>
          <w:tcPr>
            <w:tcW w:w="1779"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147986A">
            <w:pPr>
              <w:keepNext w:val="0"/>
              <w:keepLines w:val="0"/>
              <w:widowControl/>
              <w:suppressLineNumbers w:val="0"/>
              <w:jc w:val="lef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 198,595,000.00 </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92FCA1E">
            <w:pPr>
              <w:keepNext w:val="0"/>
              <w:keepLines w:val="0"/>
              <w:widowControl/>
              <w:suppressLineNumbers w:val="0"/>
              <w:jc w:val="righ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680E5F3">
            <w:pPr>
              <w:keepNext w:val="0"/>
              <w:keepLines w:val="0"/>
              <w:widowControl/>
              <w:suppressLineNumbers w:val="0"/>
              <w:jc w:val="righ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1.8</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17E1AA5">
            <w:pPr>
              <w:keepNext w:val="0"/>
              <w:keepLines w:val="0"/>
              <w:widowControl/>
              <w:suppressLineNumbers w:val="0"/>
              <w:jc w:val="lef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 1050377.12 </w:t>
            </w:r>
          </w:p>
        </w:tc>
        <w:tc>
          <w:tcPr>
            <w:tcW w:w="172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B5DAAA8">
            <w:pPr>
              <w:keepNext w:val="0"/>
              <w:keepLines w:val="0"/>
              <w:widowControl/>
              <w:suppressLineNumbers w:val="0"/>
              <w:jc w:val="righ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1019485.24 </w:t>
            </w:r>
          </w:p>
        </w:tc>
      </w:tr>
      <w:tr w14:paraId="1545517C">
        <w:tblPrEx>
          <w:tblCellMar>
            <w:top w:w="0" w:type="dxa"/>
            <w:left w:w="108" w:type="dxa"/>
            <w:bottom w:w="0" w:type="dxa"/>
            <w:right w:w="108" w:type="dxa"/>
          </w:tblCellMar>
        </w:tblPrEx>
        <w:trPr>
          <w:trHeight w:val="270" w:hRule="atLeast"/>
        </w:trPr>
        <w:tc>
          <w:tcPr>
            <w:tcW w:w="145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17EDEB5">
            <w:pPr>
              <w:keepNext w:val="0"/>
              <w:keepLines w:val="0"/>
              <w:widowControl/>
              <w:suppressLineNumbers w:val="0"/>
              <w:jc w:val="lef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JG253M154</w:t>
            </w:r>
          </w:p>
        </w:tc>
        <w:tc>
          <w:tcPr>
            <w:tcW w:w="1779"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D9AAD39">
            <w:pPr>
              <w:keepNext w:val="0"/>
              <w:keepLines w:val="0"/>
              <w:widowControl/>
              <w:suppressLineNumbers w:val="0"/>
              <w:jc w:val="lef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 99,955,000.00 </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08A9A4B">
            <w:pPr>
              <w:keepNext w:val="0"/>
              <w:keepLines w:val="0"/>
              <w:widowControl/>
              <w:suppressLineNumbers w:val="0"/>
              <w:jc w:val="righ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E2B2479">
            <w:pPr>
              <w:keepNext w:val="0"/>
              <w:keepLines w:val="0"/>
              <w:widowControl/>
              <w:suppressLineNumbers w:val="0"/>
              <w:jc w:val="righ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1.8</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B8706E2">
            <w:pPr>
              <w:keepNext w:val="0"/>
              <w:keepLines w:val="0"/>
              <w:widowControl/>
              <w:suppressLineNumbers w:val="0"/>
              <w:jc w:val="lef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 432544.99 </w:t>
            </w:r>
          </w:p>
        </w:tc>
        <w:tc>
          <w:tcPr>
            <w:tcW w:w="172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F83C37B">
            <w:pPr>
              <w:keepNext w:val="0"/>
              <w:keepLines w:val="0"/>
              <w:widowControl/>
              <w:suppressLineNumbers w:val="0"/>
              <w:jc w:val="righ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419471.30 </w:t>
            </w:r>
          </w:p>
        </w:tc>
      </w:tr>
      <w:tr w14:paraId="657CF339">
        <w:tblPrEx>
          <w:tblCellMar>
            <w:top w:w="0" w:type="dxa"/>
            <w:left w:w="108" w:type="dxa"/>
            <w:bottom w:w="0" w:type="dxa"/>
            <w:right w:w="108" w:type="dxa"/>
          </w:tblCellMar>
        </w:tblPrEx>
        <w:trPr>
          <w:trHeight w:val="270" w:hRule="atLeast"/>
        </w:trPr>
        <w:tc>
          <w:tcPr>
            <w:tcW w:w="145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9B4A96C">
            <w:pPr>
              <w:keepNext w:val="0"/>
              <w:keepLines w:val="0"/>
              <w:widowControl/>
              <w:suppressLineNumbers w:val="0"/>
              <w:jc w:val="lef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JG253M155</w:t>
            </w:r>
          </w:p>
        </w:tc>
        <w:tc>
          <w:tcPr>
            <w:tcW w:w="1779"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4C56DFB">
            <w:pPr>
              <w:keepNext w:val="0"/>
              <w:keepLines w:val="0"/>
              <w:widowControl/>
              <w:suppressLineNumbers w:val="0"/>
              <w:jc w:val="lef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 49,990,000.00 </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9C6E928">
            <w:pPr>
              <w:keepNext w:val="0"/>
              <w:keepLines w:val="0"/>
              <w:widowControl/>
              <w:suppressLineNumbers w:val="0"/>
              <w:jc w:val="righ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96A7480">
            <w:pPr>
              <w:keepNext w:val="0"/>
              <w:keepLines w:val="0"/>
              <w:widowControl/>
              <w:suppressLineNumbers w:val="0"/>
              <w:jc w:val="righ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1.9</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E809D0E">
            <w:pPr>
              <w:keepNext w:val="0"/>
              <w:keepLines w:val="0"/>
              <w:widowControl/>
              <w:suppressLineNumbers w:val="0"/>
              <w:jc w:val="lef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 228036.58 </w:t>
            </w:r>
          </w:p>
        </w:tc>
        <w:tc>
          <w:tcPr>
            <w:tcW w:w="172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3DF10F7">
            <w:pPr>
              <w:keepNext w:val="0"/>
              <w:keepLines w:val="0"/>
              <w:widowControl/>
              <w:suppressLineNumbers w:val="0"/>
              <w:jc w:val="righ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223382.59 </w:t>
            </w:r>
          </w:p>
        </w:tc>
      </w:tr>
      <w:tr w14:paraId="4659B801">
        <w:tblPrEx>
          <w:tblCellMar>
            <w:top w:w="0" w:type="dxa"/>
            <w:left w:w="108" w:type="dxa"/>
            <w:bottom w:w="0" w:type="dxa"/>
            <w:right w:w="108" w:type="dxa"/>
          </w:tblCellMar>
        </w:tblPrEx>
        <w:trPr>
          <w:trHeight w:val="270" w:hRule="atLeast"/>
        </w:trPr>
        <w:tc>
          <w:tcPr>
            <w:tcW w:w="145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9A16FF3">
            <w:pPr>
              <w:keepNext w:val="0"/>
              <w:keepLines w:val="0"/>
              <w:widowControl/>
              <w:suppressLineNumbers w:val="0"/>
              <w:jc w:val="lef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JG253M156</w:t>
            </w:r>
          </w:p>
        </w:tc>
        <w:tc>
          <w:tcPr>
            <w:tcW w:w="1779"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318B920">
            <w:pPr>
              <w:keepNext w:val="0"/>
              <w:keepLines w:val="0"/>
              <w:widowControl/>
              <w:suppressLineNumbers w:val="0"/>
              <w:jc w:val="lef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 59,640,000.00 </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C687B56">
            <w:pPr>
              <w:keepNext w:val="0"/>
              <w:keepLines w:val="0"/>
              <w:widowControl/>
              <w:suppressLineNumbers w:val="0"/>
              <w:jc w:val="righ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86357C7">
            <w:pPr>
              <w:keepNext w:val="0"/>
              <w:keepLines w:val="0"/>
              <w:widowControl/>
              <w:suppressLineNumbers w:val="0"/>
              <w:jc w:val="righ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1.8</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B263017">
            <w:pPr>
              <w:keepNext w:val="0"/>
              <w:keepLines w:val="0"/>
              <w:widowControl/>
              <w:suppressLineNumbers w:val="0"/>
              <w:jc w:val="lef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 258085.97 </w:t>
            </w:r>
          </w:p>
        </w:tc>
        <w:tc>
          <w:tcPr>
            <w:tcW w:w="172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C155896">
            <w:pPr>
              <w:keepNext w:val="0"/>
              <w:keepLines w:val="0"/>
              <w:widowControl/>
              <w:suppressLineNumbers w:val="0"/>
              <w:jc w:val="righ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250272.62 </w:t>
            </w:r>
          </w:p>
        </w:tc>
      </w:tr>
      <w:tr w14:paraId="1F731FA0">
        <w:tblPrEx>
          <w:tblCellMar>
            <w:top w:w="0" w:type="dxa"/>
            <w:left w:w="108" w:type="dxa"/>
            <w:bottom w:w="0" w:type="dxa"/>
            <w:right w:w="108" w:type="dxa"/>
          </w:tblCellMar>
        </w:tblPrEx>
        <w:trPr>
          <w:trHeight w:val="270" w:hRule="atLeast"/>
        </w:trPr>
        <w:tc>
          <w:tcPr>
            <w:tcW w:w="145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5A1F155">
            <w:pPr>
              <w:keepNext w:val="0"/>
              <w:keepLines w:val="0"/>
              <w:widowControl/>
              <w:suppressLineNumbers w:val="0"/>
              <w:jc w:val="lef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JG253M157</w:t>
            </w:r>
          </w:p>
        </w:tc>
        <w:tc>
          <w:tcPr>
            <w:tcW w:w="1779"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2DBD7AD">
            <w:pPr>
              <w:keepNext w:val="0"/>
              <w:keepLines w:val="0"/>
              <w:widowControl/>
              <w:suppressLineNumbers w:val="0"/>
              <w:jc w:val="lef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 32,860,000.00 </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C3804B9">
            <w:pPr>
              <w:keepNext w:val="0"/>
              <w:keepLines w:val="0"/>
              <w:widowControl/>
              <w:suppressLineNumbers w:val="0"/>
              <w:jc w:val="righ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B2DBC5A">
            <w:pPr>
              <w:keepNext w:val="0"/>
              <w:keepLines w:val="0"/>
              <w:widowControl/>
              <w:suppressLineNumbers w:val="0"/>
              <w:jc w:val="righ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1.8</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0D878B0">
            <w:pPr>
              <w:keepNext w:val="0"/>
              <w:keepLines w:val="0"/>
              <w:widowControl/>
              <w:suppressLineNumbers w:val="0"/>
              <w:jc w:val="lef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 153258.14 </w:t>
            </w:r>
          </w:p>
        </w:tc>
        <w:tc>
          <w:tcPr>
            <w:tcW w:w="172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67265B5">
            <w:pPr>
              <w:keepNext w:val="0"/>
              <w:keepLines w:val="0"/>
              <w:widowControl/>
              <w:suppressLineNumbers w:val="0"/>
              <w:jc w:val="righ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148594.67 </w:t>
            </w:r>
          </w:p>
        </w:tc>
      </w:tr>
      <w:tr w14:paraId="225AE9B1">
        <w:tblPrEx>
          <w:tblCellMar>
            <w:top w:w="0" w:type="dxa"/>
            <w:left w:w="108" w:type="dxa"/>
            <w:bottom w:w="0" w:type="dxa"/>
            <w:right w:w="108" w:type="dxa"/>
          </w:tblCellMar>
        </w:tblPrEx>
        <w:trPr>
          <w:trHeight w:val="270" w:hRule="atLeast"/>
        </w:trPr>
        <w:tc>
          <w:tcPr>
            <w:tcW w:w="145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66B8EB2">
            <w:pPr>
              <w:keepNext w:val="0"/>
              <w:keepLines w:val="0"/>
              <w:widowControl/>
              <w:suppressLineNumbers w:val="0"/>
              <w:jc w:val="lef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JG253M158</w:t>
            </w:r>
          </w:p>
        </w:tc>
        <w:tc>
          <w:tcPr>
            <w:tcW w:w="1779"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622389B">
            <w:pPr>
              <w:keepNext w:val="0"/>
              <w:keepLines w:val="0"/>
              <w:widowControl/>
              <w:suppressLineNumbers w:val="0"/>
              <w:jc w:val="lef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 38,354,000.00 </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D4BA231">
            <w:pPr>
              <w:keepNext w:val="0"/>
              <w:keepLines w:val="0"/>
              <w:widowControl/>
              <w:suppressLineNumbers w:val="0"/>
              <w:jc w:val="righ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A1A3E73">
            <w:pPr>
              <w:keepNext w:val="0"/>
              <w:keepLines w:val="0"/>
              <w:widowControl/>
              <w:suppressLineNumbers w:val="0"/>
              <w:jc w:val="righ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1.8</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7CC7655">
            <w:pPr>
              <w:keepNext w:val="0"/>
              <w:keepLines w:val="0"/>
              <w:widowControl/>
              <w:suppressLineNumbers w:val="0"/>
              <w:jc w:val="lef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 186258.58 </w:t>
            </w:r>
          </w:p>
        </w:tc>
        <w:tc>
          <w:tcPr>
            <w:tcW w:w="172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A1EC82A">
            <w:pPr>
              <w:keepNext w:val="0"/>
              <w:keepLines w:val="0"/>
              <w:widowControl/>
              <w:suppressLineNumbers w:val="0"/>
              <w:jc w:val="righ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180736.43 </w:t>
            </w:r>
          </w:p>
        </w:tc>
      </w:tr>
      <w:tr w14:paraId="192B4319">
        <w:tblPrEx>
          <w:tblCellMar>
            <w:top w:w="0" w:type="dxa"/>
            <w:left w:w="108" w:type="dxa"/>
            <w:bottom w:w="0" w:type="dxa"/>
            <w:right w:w="108" w:type="dxa"/>
          </w:tblCellMar>
        </w:tblPrEx>
        <w:trPr>
          <w:trHeight w:val="270" w:hRule="atLeast"/>
        </w:trPr>
        <w:tc>
          <w:tcPr>
            <w:tcW w:w="145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6784076">
            <w:pPr>
              <w:keepNext w:val="0"/>
              <w:keepLines w:val="0"/>
              <w:widowControl/>
              <w:suppressLineNumbers w:val="0"/>
              <w:jc w:val="left"/>
              <w:textAlignment w:val="bottom"/>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JG254M111</w:t>
            </w:r>
          </w:p>
        </w:tc>
        <w:tc>
          <w:tcPr>
            <w:tcW w:w="1779"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E285501">
            <w:pPr>
              <w:keepNext w:val="0"/>
              <w:keepLines w:val="0"/>
              <w:widowControl/>
              <w:suppressLineNumbers w:val="0"/>
              <w:jc w:val="lef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 118,634,000.00 </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58FDFCF">
            <w:pPr>
              <w:keepNext w:val="0"/>
              <w:keepLines w:val="0"/>
              <w:widowControl/>
              <w:suppressLineNumbers w:val="0"/>
              <w:jc w:val="righ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5DDC076">
            <w:pPr>
              <w:keepNext w:val="0"/>
              <w:keepLines w:val="0"/>
              <w:widowControl/>
              <w:suppressLineNumbers w:val="0"/>
              <w:jc w:val="righ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1.93</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65C0C80">
            <w:pPr>
              <w:keepNext w:val="0"/>
              <w:keepLines w:val="0"/>
              <w:widowControl/>
              <w:suppressLineNumbers w:val="0"/>
              <w:jc w:val="lef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 751587.02 </w:t>
            </w:r>
          </w:p>
        </w:tc>
        <w:tc>
          <w:tcPr>
            <w:tcW w:w="172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F01F30A">
            <w:pPr>
              <w:keepNext w:val="0"/>
              <w:keepLines w:val="0"/>
              <w:widowControl/>
              <w:suppressLineNumbers w:val="0"/>
              <w:jc w:val="righ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771343.98 </w:t>
            </w:r>
          </w:p>
        </w:tc>
      </w:tr>
      <w:tr w14:paraId="0A6163A8">
        <w:tblPrEx>
          <w:tblCellMar>
            <w:top w:w="0" w:type="dxa"/>
            <w:left w:w="108" w:type="dxa"/>
            <w:bottom w:w="0" w:type="dxa"/>
            <w:right w:w="108" w:type="dxa"/>
          </w:tblCellMar>
        </w:tblPrEx>
        <w:trPr>
          <w:trHeight w:val="270" w:hRule="atLeast"/>
        </w:trPr>
        <w:tc>
          <w:tcPr>
            <w:tcW w:w="145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00BE8D0">
            <w:pPr>
              <w:keepNext w:val="0"/>
              <w:keepLines w:val="0"/>
              <w:widowControl/>
              <w:suppressLineNumbers w:val="0"/>
              <w:jc w:val="left"/>
              <w:textAlignment w:val="bottom"/>
              <w:rPr>
                <w:rFonts w:hint="default" w:ascii="Arial" w:hAnsi="Arial" w:eastAsia="等线"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JG254M112</w:t>
            </w:r>
          </w:p>
        </w:tc>
        <w:tc>
          <w:tcPr>
            <w:tcW w:w="1779"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775C3F3">
            <w:pPr>
              <w:keepNext w:val="0"/>
              <w:keepLines w:val="0"/>
              <w:widowControl/>
              <w:suppressLineNumbers w:val="0"/>
              <w:jc w:val="left"/>
              <w:textAlignment w:val="bottom"/>
              <w:rPr>
                <w:rFonts w:hint="default" w:ascii="Arial" w:hAnsi="Arial" w:eastAsia="等线"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 89,601,000.00 </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D30E8FC">
            <w:pPr>
              <w:keepNext w:val="0"/>
              <w:keepLines w:val="0"/>
              <w:widowControl/>
              <w:suppressLineNumbers w:val="0"/>
              <w:jc w:val="right"/>
              <w:textAlignment w:val="bottom"/>
              <w:rPr>
                <w:rFonts w:hint="default" w:ascii="Arial" w:hAnsi="Arial" w:eastAsia="等线"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EAB0E0E">
            <w:pPr>
              <w:keepNext w:val="0"/>
              <w:keepLines w:val="0"/>
              <w:widowControl/>
              <w:suppressLineNumbers w:val="0"/>
              <w:jc w:val="right"/>
              <w:textAlignment w:val="bottom"/>
              <w:rPr>
                <w:rFonts w:hint="default" w:ascii="Arial" w:hAnsi="Arial" w:eastAsia="等线"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1.93</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5E9A684">
            <w:pPr>
              <w:keepNext w:val="0"/>
              <w:keepLines w:val="0"/>
              <w:widowControl/>
              <w:suppressLineNumbers w:val="0"/>
              <w:jc w:val="left"/>
              <w:textAlignment w:val="bottom"/>
              <w:rPr>
                <w:rFonts w:hint="default" w:ascii="Arial" w:hAnsi="Arial" w:eastAsia="等线"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 558422.89 </w:t>
            </w:r>
          </w:p>
        </w:tc>
        <w:tc>
          <w:tcPr>
            <w:tcW w:w="172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FF79ECD">
            <w:pPr>
              <w:keepNext w:val="0"/>
              <w:keepLines w:val="0"/>
              <w:widowControl/>
              <w:suppressLineNumbers w:val="0"/>
              <w:jc w:val="right"/>
              <w:textAlignment w:val="bottom"/>
              <w:rPr>
                <w:rFonts w:hint="default" w:ascii="Arial" w:hAnsi="Arial" w:eastAsia="等线"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573005.24 </w:t>
            </w:r>
          </w:p>
        </w:tc>
      </w:tr>
      <w:tr w14:paraId="0B4DFDE1">
        <w:tblPrEx>
          <w:tblCellMar>
            <w:top w:w="0" w:type="dxa"/>
            <w:left w:w="108" w:type="dxa"/>
            <w:bottom w:w="0" w:type="dxa"/>
            <w:right w:w="108" w:type="dxa"/>
          </w:tblCellMar>
        </w:tblPrEx>
        <w:trPr>
          <w:trHeight w:val="270" w:hRule="atLeast"/>
        </w:trPr>
        <w:tc>
          <w:tcPr>
            <w:tcW w:w="145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E36DB40">
            <w:pPr>
              <w:keepNext w:val="0"/>
              <w:keepLines w:val="0"/>
              <w:widowControl/>
              <w:suppressLineNumbers w:val="0"/>
              <w:jc w:val="left"/>
              <w:textAlignment w:val="bottom"/>
              <w:rPr>
                <w:rFonts w:hint="default" w:ascii="Arial" w:hAnsi="Arial" w:eastAsia="等线"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JG254M114</w:t>
            </w:r>
          </w:p>
        </w:tc>
        <w:tc>
          <w:tcPr>
            <w:tcW w:w="1779"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4BA9B33">
            <w:pPr>
              <w:keepNext w:val="0"/>
              <w:keepLines w:val="0"/>
              <w:widowControl/>
              <w:suppressLineNumbers w:val="0"/>
              <w:jc w:val="left"/>
              <w:textAlignment w:val="bottom"/>
              <w:rPr>
                <w:rFonts w:hint="default" w:ascii="Arial" w:hAnsi="Arial" w:eastAsia="等线"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 294,910,000.00 </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758632A">
            <w:pPr>
              <w:keepNext w:val="0"/>
              <w:keepLines w:val="0"/>
              <w:widowControl/>
              <w:suppressLineNumbers w:val="0"/>
              <w:jc w:val="right"/>
              <w:textAlignment w:val="bottom"/>
              <w:rPr>
                <w:rFonts w:hint="default" w:ascii="Arial" w:hAnsi="Arial" w:eastAsia="等线"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656468E">
            <w:pPr>
              <w:keepNext w:val="0"/>
              <w:keepLines w:val="0"/>
              <w:widowControl/>
              <w:suppressLineNumbers w:val="0"/>
              <w:jc w:val="right"/>
              <w:textAlignment w:val="bottom"/>
              <w:rPr>
                <w:rFonts w:hint="default" w:ascii="Arial" w:hAnsi="Arial" w:eastAsia="等线"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1.93</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C510C55">
            <w:pPr>
              <w:keepNext w:val="0"/>
              <w:keepLines w:val="0"/>
              <w:widowControl/>
              <w:suppressLineNumbers w:val="0"/>
              <w:jc w:val="left"/>
              <w:textAlignment w:val="bottom"/>
              <w:rPr>
                <w:rFonts w:hint="default" w:ascii="Arial" w:hAnsi="Arial" w:eastAsia="等线"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 1762026.65 </w:t>
            </w:r>
          </w:p>
        </w:tc>
        <w:tc>
          <w:tcPr>
            <w:tcW w:w="172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3C3A2F6">
            <w:pPr>
              <w:keepNext w:val="0"/>
              <w:keepLines w:val="0"/>
              <w:widowControl/>
              <w:suppressLineNumbers w:val="0"/>
              <w:jc w:val="right"/>
              <w:textAlignment w:val="bottom"/>
              <w:rPr>
                <w:rFonts w:hint="default" w:ascii="Arial" w:hAnsi="Arial" w:eastAsia="等线"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1808345.02 </w:t>
            </w:r>
          </w:p>
        </w:tc>
      </w:tr>
      <w:tr w14:paraId="48DDC355">
        <w:tblPrEx>
          <w:tblCellMar>
            <w:top w:w="0" w:type="dxa"/>
            <w:left w:w="108" w:type="dxa"/>
            <w:bottom w:w="0" w:type="dxa"/>
            <w:right w:w="108" w:type="dxa"/>
          </w:tblCellMar>
        </w:tblPrEx>
        <w:trPr>
          <w:trHeight w:val="270" w:hRule="atLeast"/>
        </w:trPr>
        <w:tc>
          <w:tcPr>
            <w:tcW w:w="145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A9D78AB">
            <w:pPr>
              <w:keepNext w:val="0"/>
              <w:keepLines w:val="0"/>
              <w:widowControl/>
              <w:suppressLineNumbers w:val="0"/>
              <w:jc w:val="left"/>
              <w:textAlignment w:val="bottom"/>
              <w:rPr>
                <w:rFonts w:hint="default" w:ascii="Arial" w:hAnsi="Arial" w:eastAsia="等线"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JG254M129</w:t>
            </w:r>
          </w:p>
        </w:tc>
        <w:tc>
          <w:tcPr>
            <w:tcW w:w="1779"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302D4A8">
            <w:pPr>
              <w:keepNext w:val="0"/>
              <w:keepLines w:val="0"/>
              <w:widowControl/>
              <w:suppressLineNumbers w:val="0"/>
              <w:jc w:val="left"/>
              <w:textAlignment w:val="bottom"/>
              <w:rPr>
                <w:rFonts w:hint="default" w:ascii="Arial" w:hAnsi="Arial" w:eastAsia="等线"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 37,995,000.00 </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1D05318">
            <w:pPr>
              <w:keepNext w:val="0"/>
              <w:keepLines w:val="0"/>
              <w:widowControl/>
              <w:suppressLineNumbers w:val="0"/>
              <w:jc w:val="right"/>
              <w:textAlignment w:val="bottom"/>
              <w:rPr>
                <w:rFonts w:hint="default" w:ascii="Arial" w:hAnsi="Arial" w:eastAsia="等线"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17DFEC0">
            <w:pPr>
              <w:keepNext w:val="0"/>
              <w:keepLines w:val="0"/>
              <w:widowControl/>
              <w:suppressLineNumbers w:val="0"/>
              <w:jc w:val="right"/>
              <w:textAlignment w:val="bottom"/>
              <w:rPr>
                <w:rFonts w:hint="default" w:ascii="Arial" w:hAnsi="Arial" w:eastAsia="等线"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1.8</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A208827">
            <w:pPr>
              <w:keepNext w:val="0"/>
              <w:keepLines w:val="0"/>
              <w:widowControl/>
              <w:suppressLineNumbers w:val="0"/>
              <w:jc w:val="left"/>
              <w:textAlignment w:val="bottom"/>
              <w:rPr>
                <w:rFonts w:hint="default" w:ascii="Arial" w:hAnsi="Arial" w:eastAsia="等线"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 227709.76 </w:t>
            </w:r>
          </w:p>
        </w:tc>
        <w:tc>
          <w:tcPr>
            <w:tcW w:w="172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7226413">
            <w:pPr>
              <w:keepNext w:val="0"/>
              <w:keepLines w:val="0"/>
              <w:widowControl/>
              <w:suppressLineNumbers w:val="0"/>
              <w:jc w:val="right"/>
              <w:textAlignment w:val="bottom"/>
              <w:rPr>
                <w:rFonts w:hint="default" w:ascii="Arial" w:hAnsi="Arial" w:eastAsia="等线"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221511.43 </w:t>
            </w:r>
          </w:p>
        </w:tc>
      </w:tr>
      <w:tr w14:paraId="7B76D7BB">
        <w:tblPrEx>
          <w:tblCellMar>
            <w:top w:w="0" w:type="dxa"/>
            <w:left w:w="108" w:type="dxa"/>
            <w:bottom w:w="0" w:type="dxa"/>
            <w:right w:w="108" w:type="dxa"/>
          </w:tblCellMar>
        </w:tblPrEx>
        <w:trPr>
          <w:trHeight w:val="270" w:hRule="atLeast"/>
        </w:trPr>
        <w:tc>
          <w:tcPr>
            <w:tcW w:w="145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8BCA510">
            <w:pPr>
              <w:keepNext w:val="0"/>
              <w:keepLines w:val="0"/>
              <w:widowControl/>
              <w:suppressLineNumbers w:val="0"/>
              <w:jc w:val="left"/>
              <w:textAlignment w:val="bottom"/>
              <w:rPr>
                <w:rFonts w:hint="default" w:ascii="Arial" w:hAnsi="Arial" w:eastAsia="等线"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JG254M130</w:t>
            </w:r>
          </w:p>
        </w:tc>
        <w:tc>
          <w:tcPr>
            <w:tcW w:w="1779"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F95390E">
            <w:pPr>
              <w:keepNext w:val="0"/>
              <w:keepLines w:val="0"/>
              <w:widowControl/>
              <w:suppressLineNumbers w:val="0"/>
              <w:jc w:val="left"/>
              <w:textAlignment w:val="bottom"/>
              <w:rPr>
                <w:rFonts w:hint="default" w:ascii="Arial" w:hAnsi="Arial" w:eastAsia="等线"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 174,685,000.00 </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175B156">
            <w:pPr>
              <w:keepNext w:val="0"/>
              <w:keepLines w:val="0"/>
              <w:widowControl/>
              <w:suppressLineNumbers w:val="0"/>
              <w:jc w:val="right"/>
              <w:textAlignment w:val="bottom"/>
              <w:rPr>
                <w:rFonts w:hint="default" w:ascii="Arial" w:hAnsi="Arial" w:eastAsia="等线"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5CDC406">
            <w:pPr>
              <w:keepNext w:val="0"/>
              <w:keepLines w:val="0"/>
              <w:widowControl/>
              <w:suppressLineNumbers w:val="0"/>
              <w:jc w:val="right"/>
              <w:textAlignment w:val="bottom"/>
              <w:rPr>
                <w:rFonts w:hint="default" w:ascii="Arial" w:hAnsi="Arial" w:eastAsia="等线"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1.8</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D14408C">
            <w:pPr>
              <w:keepNext w:val="0"/>
              <w:keepLines w:val="0"/>
              <w:widowControl/>
              <w:suppressLineNumbers w:val="0"/>
              <w:jc w:val="left"/>
              <w:textAlignment w:val="bottom"/>
              <w:rPr>
                <w:rFonts w:hint="default" w:ascii="Arial" w:hAnsi="Arial" w:eastAsia="等线"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 1021787.60 </w:t>
            </w:r>
          </w:p>
        </w:tc>
        <w:tc>
          <w:tcPr>
            <w:tcW w:w="172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53DDB59">
            <w:pPr>
              <w:keepNext w:val="0"/>
              <w:keepLines w:val="0"/>
              <w:widowControl/>
              <w:suppressLineNumbers w:val="0"/>
              <w:jc w:val="right"/>
              <w:textAlignment w:val="bottom"/>
              <w:rPr>
                <w:rFonts w:hint="default" w:ascii="Arial" w:hAnsi="Arial" w:eastAsia="等线"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1000841.95 </w:t>
            </w:r>
          </w:p>
        </w:tc>
      </w:tr>
      <w:tr w14:paraId="1C7CE990">
        <w:tblPrEx>
          <w:tblCellMar>
            <w:top w:w="0" w:type="dxa"/>
            <w:left w:w="108" w:type="dxa"/>
            <w:bottom w:w="0" w:type="dxa"/>
            <w:right w:w="108" w:type="dxa"/>
          </w:tblCellMar>
        </w:tblPrEx>
        <w:trPr>
          <w:trHeight w:val="270" w:hRule="atLeast"/>
        </w:trPr>
        <w:tc>
          <w:tcPr>
            <w:tcW w:w="145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1239DCD">
            <w:pPr>
              <w:keepNext w:val="0"/>
              <w:keepLines w:val="0"/>
              <w:widowControl/>
              <w:suppressLineNumbers w:val="0"/>
              <w:jc w:val="lef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JG255M089</w:t>
            </w:r>
          </w:p>
        </w:tc>
        <w:tc>
          <w:tcPr>
            <w:tcW w:w="1779"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5CAC20A">
            <w:pPr>
              <w:keepNext w:val="0"/>
              <w:keepLines w:val="0"/>
              <w:widowControl/>
              <w:suppressLineNumbers w:val="0"/>
              <w:jc w:val="lef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 103,301,000.00 </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7035984">
            <w:pPr>
              <w:keepNext w:val="0"/>
              <w:keepLines w:val="0"/>
              <w:widowControl/>
              <w:suppressLineNumbers w:val="0"/>
              <w:jc w:val="righ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1.3</w:t>
            </w:r>
          </w:p>
        </w:tc>
        <w:tc>
          <w:tcPr>
            <w:tcW w:w="91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1FC3D62">
            <w:pPr>
              <w:keepNext w:val="0"/>
              <w:keepLines w:val="0"/>
              <w:widowControl/>
              <w:suppressLineNumbers w:val="0"/>
              <w:jc w:val="righ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2.22</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A82AD61">
            <w:pPr>
              <w:keepNext w:val="0"/>
              <w:keepLines w:val="0"/>
              <w:widowControl/>
              <w:suppressLineNumbers w:val="0"/>
              <w:jc w:val="lef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 1074754.92 </w:t>
            </w:r>
          </w:p>
        </w:tc>
        <w:tc>
          <w:tcPr>
            <w:tcW w:w="172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8497FB2">
            <w:pPr>
              <w:keepNext w:val="0"/>
              <w:keepLines w:val="0"/>
              <w:widowControl/>
              <w:suppressLineNumbers w:val="0"/>
              <w:jc w:val="righ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1049675.19 </w:t>
            </w:r>
          </w:p>
        </w:tc>
      </w:tr>
      <w:tr w14:paraId="4D01B55E">
        <w:tblPrEx>
          <w:tblCellMar>
            <w:top w:w="0" w:type="dxa"/>
            <w:left w:w="108" w:type="dxa"/>
            <w:bottom w:w="0" w:type="dxa"/>
            <w:right w:w="108" w:type="dxa"/>
          </w:tblCellMar>
        </w:tblPrEx>
        <w:trPr>
          <w:trHeight w:val="270" w:hRule="atLeast"/>
        </w:trPr>
        <w:tc>
          <w:tcPr>
            <w:tcW w:w="145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D3E97E3">
            <w:pPr>
              <w:keepNext w:val="0"/>
              <w:keepLines w:val="0"/>
              <w:widowControl/>
              <w:suppressLineNumbers w:val="0"/>
              <w:jc w:val="lef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JG256M098</w:t>
            </w:r>
          </w:p>
        </w:tc>
        <w:tc>
          <w:tcPr>
            <w:tcW w:w="1779"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B0BDD73">
            <w:pPr>
              <w:keepNext w:val="0"/>
              <w:keepLines w:val="0"/>
              <w:widowControl/>
              <w:suppressLineNumbers w:val="0"/>
              <w:jc w:val="lef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 172,219,000.00 </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A4C764F">
            <w:pPr>
              <w:keepNext w:val="0"/>
              <w:keepLines w:val="0"/>
              <w:widowControl/>
              <w:suppressLineNumbers w:val="0"/>
              <w:jc w:val="righ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1.3</w:t>
            </w:r>
          </w:p>
        </w:tc>
        <w:tc>
          <w:tcPr>
            <w:tcW w:w="91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028A890">
            <w:pPr>
              <w:keepNext w:val="0"/>
              <w:keepLines w:val="0"/>
              <w:widowControl/>
              <w:suppressLineNumbers w:val="0"/>
              <w:jc w:val="righ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2.22</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62050C3">
            <w:pPr>
              <w:keepNext w:val="0"/>
              <w:keepLines w:val="0"/>
              <w:widowControl/>
              <w:suppressLineNumbers w:val="0"/>
              <w:jc w:val="lef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 1894173.08 </w:t>
            </w:r>
          </w:p>
        </w:tc>
        <w:tc>
          <w:tcPr>
            <w:tcW w:w="172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15D82B2">
            <w:pPr>
              <w:keepNext w:val="0"/>
              <w:keepLines w:val="0"/>
              <w:widowControl/>
              <w:suppressLineNumbers w:val="0"/>
              <w:jc w:val="righ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1935003.53 </w:t>
            </w:r>
          </w:p>
        </w:tc>
      </w:tr>
      <w:tr w14:paraId="63AF999C">
        <w:tblPrEx>
          <w:tblCellMar>
            <w:top w:w="0" w:type="dxa"/>
            <w:left w:w="108" w:type="dxa"/>
            <w:bottom w:w="0" w:type="dxa"/>
            <w:right w:w="108" w:type="dxa"/>
          </w:tblCellMar>
        </w:tblPrEx>
        <w:trPr>
          <w:trHeight w:val="270" w:hRule="atLeast"/>
        </w:trPr>
        <w:tc>
          <w:tcPr>
            <w:tcW w:w="145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BAE4DE5">
            <w:pPr>
              <w:keepNext w:val="0"/>
              <w:keepLines w:val="0"/>
              <w:widowControl/>
              <w:suppressLineNumbers w:val="0"/>
              <w:jc w:val="lef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JG256M128</w:t>
            </w:r>
          </w:p>
        </w:tc>
        <w:tc>
          <w:tcPr>
            <w:tcW w:w="1779"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7EF66E6">
            <w:pPr>
              <w:keepNext w:val="0"/>
              <w:keepLines w:val="0"/>
              <w:widowControl/>
              <w:suppressLineNumbers w:val="0"/>
              <w:jc w:val="lef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 100,000,000.00 </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109BD3A">
            <w:pPr>
              <w:keepNext w:val="0"/>
              <w:keepLines w:val="0"/>
              <w:widowControl/>
              <w:suppressLineNumbers w:val="0"/>
              <w:jc w:val="righ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1.1</w:t>
            </w:r>
          </w:p>
        </w:tc>
        <w:tc>
          <w:tcPr>
            <w:tcW w:w="91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D99CD82">
            <w:pPr>
              <w:keepNext w:val="0"/>
              <w:keepLines w:val="0"/>
              <w:widowControl/>
              <w:suppressLineNumbers w:val="0"/>
              <w:jc w:val="righ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1.9</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8E7A77F">
            <w:pPr>
              <w:keepNext w:val="0"/>
              <w:keepLines w:val="0"/>
              <w:widowControl/>
              <w:suppressLineNumbers w:val="0"/>
              <w:jc w:val="lef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 912328.77 </w:t>
            </w:r>
          </w:p>
        </w:tc>
        <w:tc>
          <w:tcPr>
            <w:tcW w:w="172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8C55798">
            <w:pPr>
              <w:keepNext w:val="0"/>
              <w:keepLines w:val="0"/>
              <w:widowControl/>
              <w:suppressLineNumbers w:val="0"/>
              <w:jc w:val="righ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888966.05 </w:t>
            </w:r>
          </w:p>
        </w:tc>
      </w:tr>
      <w:tr w14:paraId="7CCDA6CD">
        <w:tblPrEx>
          <w:tblCellMar>
            <w:top w:w="0" w:type="dxa"/>
            <w:left w:w="108" w:type="dxa"/>
            <w:bottom w:w="0" w:type="dxa"/>
            <w:right w:w="108" w:type="dxa"/>
          </w:tblCellMar>
        </w:tblPrEx>
        <w:trPr>
          <w:trHeight w:val="270" w:hRule="atLeast"/>
        </w:trPr>
        <w:tc>
          <w:tcPr>
            <w:tcW w:w="145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84F9E17">
            <w:pPr>
              <w:keepNext w:val="0"/>
              <w:keepLines w:val="0"/>
              <w:widowControl/>
              <w:suppressLineNumbers w:val="0"/>
              <w:jc w:val="lef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JG256M132</w:t>
            </w:r>
          </w:p>
        </w:tc>
        <w:tc>
          <w:tcPr>
            <w:tcW w:w="1779"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BD9B1C7">
            <w:pPr>
              <w:keepNext w:val="0"/>
              <w:keepLines w:val="0"/>
              <w:widowControl/>
              <w:suppressLineNumbers w:val="0"/>
              <w:jc w:val="lef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 58,502,000.00 </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886CC0B">
            <w:pPr>
              <w:keepNext w:val="0"/>
              <w:keepLines w:val="0"/>
              <w:widowControl/>
              <w:suppressLineNumbers w:val="0"/>
              <w:jc w:val="righ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1.1</w:t>
            </w:r>
          </w:p>
        </w:tc>
        <w:tc>
          <w:tcPr>
            <w:tcW w:w="91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980107B">
            <w:pPr>
              <w:keepNext w:val="0"/>
              <w:keepLines w:val="0"/>
              <w:widowControl/>
              <w:suppressLineNumbers w:val="0"/>
              <w:jc w:val="righ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1.9</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2A21669">
            <w:pPr>
              <w:keepNext w:val="0"/>
              <w:keepLines w:val="0"/>
              <w:widowControl/>
              <w:suppressLineNumbers w:val="0"/>
              <w:jc w:val="lef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 558958.56 </w:t>
            </w:r>
          </w:p>
        </w:tc>
        <w:tc>
          <w:tcPr>
            <w:tcW w:w="172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F803EBB">
            <w:pPr>
              <w:keepNext w:val="0"/>
              <w:keepLines w:val="0"/>
              <w:widowControl/>
              <w:suppressLineNumbers w:val="0"/>
              <w:jc w:val="righ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544462.61 </w:t>
            </w:r>
          </w:p>
        </w:tc>
      </w:tr>
      <w:tr w14:paraId="04743B06">
        <w:tblPrEx>
          <w:tblCellMar>
            <w:top w:w="0" w:type="dxa"/>
            <w:left w:w="108" w:type="dxa"/>
            <w:bottom w:w="0" w:type="dxa"/>
            <w:right w:w="108" w:type="dxa"/>
          </w:tblCellMar>
        </w:tblPrEx>
        <w:trPr>
          <w:trHeight w:val="270" w:hRule="atLeast"/>
        </w:trPr>
        <w:tc>
          <w:tcPr>
            <w:tcW w:w="145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90F6FCE">
            <w:pPr>
              <w:keepNext w:val="0"/>
              <w:keepLines w:val="0"/>
              <w:widowControl/>
              <w:suppressLineNumbers w:val="0"/>
              <w:jc w:val="lef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JG256M136</w:t>
            </w:r>
          </w:p>
        </w:tc>
        <w:tc>
          <w:tcPr>
            <w:tcW w:w="1779"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579B3C8">
            <w:pPr>
              <w:keepNext w:val="0"/>
              <w:keepLines w:val="0"/>
              <w:widowControl/>
              <w:suppressLineNumbers w:val="0"/>
              <w:jc w:val="lef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 99,914,000.00 </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6989992">
            <w:pPr>
              <w:keepNext w:val="0"/>
              <w:keepLines w:val="0"/>
              <w:widowControl/>
              <w:suppressLineNumbers w:val="0"/>
              <w:jc w:val="righ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1.1</w:t>
            </w:r>
          </w:p>
        </w:tc>
        <w:tc>
          <w:tcPr>
            <w:tcW w:w="91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A8486EA">
            <w:pPr>
              <w:keepNext w:val="0"/>
              <w:keepLines w:val="0"/>
              <w:widowControl/>
              <w:suppressLineNumbers w:val="0"/>
              <w:jc w:val="righ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1.85</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8CB8770">
            <w:pPr>
              <w:keepNext w:val="0"/>
              <w:keepLines w:val="0"/>
              <w:widowControl/>
              <w:suppressLineNumbers w:val="0"/>
              <w:jc w:val="lef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 894312.42 </w:t>
            </w:r>
          </w:p>
        </w:tc>
        <w:tc>
          <w:tcPr>
            <w:tcW w:w="172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48CB7AA">
            <w:pPr>
              <w:keepNext w:val="0"/>
              <w:keepLines w:val="0"/>
              <w:widowControl/>
              <w:suppressLineNumbers w:val="0"/>
              <w:jc w:val="righ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871053.07 </w:t>
            </w:r>
          </w:p>
        </w:tc>
      </w:tr>
      <w:tr w14:paraId="77EEBE94">
        <w:tblPrEx>
          <w:tblCellMar>
            <w:top w:w="0" w:type="dxa"/>
            <w:left w:w="108" w:type="dxa"/>
            <w:bottom w:w="0" w:type="dxa"/>
            <w:right w:w="108" w:type="dxa"/>
          </w:tblCellMar>
        </w:tblPrEx>
        <w:trPr>
          <w:trHeight w:val="270" w:hRule="atLeast"/>
        </w:trPr>
        <w:tc>
          <w:tcPr>
            <w:tcW w:w="145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5223F02">
            <w:pPr>
              <w:keepNext w:val="0"/>
              <w:keepLines w:val="0"/>
              <w:widowControl/>
              <w:suppressLineNumbers w:val="0"/>
              <w:jc w:val="lef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JG256M140</w:t>
            </w:r>
          </w:p>
        </w:tc>
        <w:tc>
          <w:tcPr>
            <w:tcW w:w="1779"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C9FEA9F">
            <w:pPr>
              <w:keepNext w:val="0"/>
              <w:keepLines w:val="0"/>
              <w:widowControl/>
              <w:suppressLineNumbers w:val="0"/>
              <w:jc w:val="lef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 66,596,000.00 </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DF54158">
            <w:pPr>
              <w:keepNext w:val="0"/>
              <w:keepLines w:val="0"/>
              <w:widowControl/>
              <w:suppressLineNumbers w:val="0"/>
              <w:jc w:val="righ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1.1</w:t>
            </w:r>
          </w:p>
        </w:tc>
        <w:tc>
          <w:tcPr>
            <w:tcW w:w="91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E349731">
            <w:pPr>
              <w:keepNext w:val="0"/>
              <w:keepLines w:val="0"/>
              <w:widowControl/>
              <w:suppressLineNumbers w:val="0"/>
              <w:jc w:val="righ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1.85</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6EB06AB">
            <w:pPr>
              <w:keepNext w:val="0"/>
              <w:keepLines w:val="0"/>
              <w:widowControl/>
              <w:suppressLineNumbers w:val="0"/>
              <w:jc w:val="lef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 642195.26 </w:t>
            </w:r>
          </w:p>
        </w:tc>
        <w:tc>
          <w:tcPr>
            <w:tcW w:w="172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82DAE85">
            <w:pPr>
              <w:keepNext w:val="0"/>
              <w:keepLines w:val="0"/>
              <w:widowControl/>
              <w:suppressLineNumbers w:val="0"/>
              <w:jc w:val="righ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624734.83 </w:t>
            </w:r>
          </w:p>
        </w:tc>
      </w:tr>
      <w:tr w14:paraId="41EA98CC">
        <w:tblPrEx>
          <w:tblCellMar>
            <w:top w:w="0" w:type="dxa"/>
            <w:left w:w="108" w:type="dxa"/>
            <w:bottom w:w="0" w:type="dxa"/>
            <w:right w:w="108" w:type="dxa"/>
          </w:tblCellMar>
        </w:tblPrEx>
        <w:trPr>
          <w:trHeight w:val="270" w:hRule="atLeast"/>
        </w:trPr>
        <w:tc>
          <w:tcPr>
            <w:tcW w:w="145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40FC199">
            <w:pPr>
              <w:keepNext w:val="0"/>
              <w:keepLines w:val="0"/>
              <w:widowControl/>
              <w:suppressLineNumbers w:val="0"/>
              <w:jc w:val="lef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JG256M145</w:t>
            </w:r>
          </w:p>
        </w:tc>
        <w:tc>
          <w:tcPr>
            <w:tcW w:w="1779"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2BA7B47">
            <w:pPr>
              <w:keepNext w:val="0"/>
              <w:keepLines w:val="0"/>
              <w:widowControl/>
              <w:suppressLineNumbers w:val="0"/>
              <w:jc w:val="lef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 149,800,000.00 </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9C631B4">
            <w:pPr>
              <w:keepNext w:val="0"/>
              <w:keepLines w:val="0"/>
              <w:widowControl/>
              <w:suppressLineNumbers w:val="0"/>
              <w:jc w:val="righ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1.1</w:t>
            </w:r>
          </w:p>
        </w:tc>
        <w:tc>
          <w:tcPr>
            <w:tcW w:w="91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0703F36">
            <w:pPr>
              <w:keepNext w:val="0"/>
              <w:keepLines w:val="0"/>
              <w:widowControl/>
              <w:suppressLineNumbers w:val="0"/>
              <w:jc w:val="righ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1.85</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A2252C3">
            <w:pPr>
              <w:keepNext w:val="0"/>
              <w:keepLines w:val="0"/>
              <w:widowControl/>
              <w:suppressLineNumbers w:val="0"/>
              <w:jc w:val="lef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 1402414.25 </w:t>
            </w:r>
          </w:p>
        </w:tc>
        <w:tc>
          <w:tcPr>
            <w:tcW w:w="172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4A2783F">
            <w:pPr>
              <w:keepNext w:val="0"/>
              <w:keepLines w:val="0"/>
              <w:widowControl/>
              <w:suppressLineNumbers w:val="0"/>
              <w:jc w:val="righ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1374259.39 </w:t>
            </w:r>
          </w:p>
        </w:tc>
      </w:tr>
      <w:tr w14:paraId="6096AF9E">
        <w:tblPrEx>
          <w:tblCellMar>
            <w:top w:w="0" w:type="dxa"/>
            <w:left w:w="108" w:type="dxa"/>
            <w:bottom w:w="0" w:type="dxa"/>
            <w:right w:w="108" w:type="dxa"/>
          </w:tblCellMar>
        </w:tblPrEx>
        <w:trPr>
          <w:trHeight w:val="270" w:hRule="atLeast"/>
        </w:trPr>
        <w:tc>
          <w:tcPr>
            <w:tcW w:w="145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D1A9390">
            <w:pPr>
              <w:keepNext w:val="0"/>
              <w:keepLines w:val="0"/>
              <w:widowControl/>
              <w:suppressLineNumbers w:val="0"/>
              <w:jc w:val="lef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JG256M151</w:t>
            </w:r>
          </w:p>
        </w:tc>
        <w:tc>
          <w:tcPr>
            <w:tcW w:w="1779"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5B335CE">
            <w:pPr>
              <w:keepNext w:val="0"/>
              <w:keepLines w:val="0"/>
              <w:widowControl/>
              <w:suppressLineNumbers w:val="0"/>
              <w:jc w:val="lef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 150,177,000.00 </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EB9B164">
            <w:pPr>
              <w:keepNext w:val="0"/>
              <w:keepLines w:val="0"/>
              <w:widowControl/>
              <w:suppressLineNumbers w:val="0"/>
              <w:jc w:val="righ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1.1</w:t>
            </w:r>
          </w:p>
        </w:tc>
        <w:tc>
          <w:tcPr>
            <w:tcW w:w="91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FFFAB69">
            <w:pPr>
              <w:keepNext w:val="0"/>
              <w:keepLines w:val="0"/>
              <w:widowControl/>
              <w:suppressLineNumbers w:val="0"/>
              <w:jc w:val="righ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1.85</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8DA8393">
            <w:pPr>
              <w:keepNext w:val="0"/>
              <w:keepLines w:val="0"/>
              <w:widowControl/>
              <w:suppressLineNumbers w:val="0"/>
              <w:jc w:val="lef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 1340695.48 </w:t>
            </w:r>
          </w:p>
        </w:tc>
        <w:tc>
          <w:tcPr>
            <w:tcW w:w="172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320AF99">
            <w:pPr>
              <w:keepNext w:val="0"/>
              <w:keepLines w:val="0"/>
              <w:widowControl/>
              <w:suppressLineNumbers w:val="0"/>
              <w:jc w:val="righ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1306816.24 </w:t>
            </w:r>
          </w:p>
        </w:tc>
      </w:tr>
      <w:bookmarkEnd w:id="0"/>
    </w:tbl>
    <w:p w14:paraId="6B0AEC69">
      <w:pPr>
        <w:widowControl/>
        <w:shd w:val="clear" w:color="auto" w:fill="FFFFFF"/>
        <w:spacing w:line="360" w:lineRule="auto"/>
        <w:jc w:val="left"/>
        <w:rPr>
          <w:rFonts w:ascii="仿宋" w:hAnsi="仿宋" w:eastAsia="仿宋" w:cs="Segoe UI"/>
          <w:b/>
          <w:bCs/>
          <w:color w:val="000000"/>
          <w:kern w:val="0"/>
          <w:szCs w:val="21"/>
        </w:rPr>
      </w:pPr>
      <w:r>
        <w:rPr>
          <w:rFonts w:hint="eastAsia" w:ascii="仿宋" w:hAnsi="仿宋" w:eastAsia="仿宋" w:cs="Segoe UI"/>
          <w:b/>
          <w:bCs/>
          <w:color w:val="000000"/>
          <w:kern w:val="0"/>
          <w:szCs w:val="21"/>
        </w:rPr>
        <w:t>注：衍生品公允价值不代表衍生交易的实际损益</w:t>
      </w:r>
    </w:p>
    <w:p w14:paraId="2372D794">
      <w:pPr>
        <w:widowControl/>
        <w:shd w:val="clear" w:color="auto" w:fill="FFFFFF"/>
        <w:spacing w:line="360" w:lineRule="auto"/>
        <w:jc w:val="left"/>
        <w:rPr>
          <w:rFonts w:ascii="仿宋" w:hAnsi="仿宋" w:eastAsia="仿宋" w:cs="Segoe UI"/>
          <w:b/>
          <w:bCs/>
          <w:color w:val="000000"/>
          <w:kern w:val="0"/>
          <w:sz w:val="32"/>
          <w:szCs w:val="32"/>
        </w:rPr>
      </w:pPr>
      <w:r>
        <w:rPr>
          <w:rFonts w:hint="eastAsia" w:ascii="仿宋" w:hAnsi="仿宋" w:eastAsia="仿宋" w:cs="Segoe UI"/>
          <w:b/>
          <w:bCs/>
          <w:color w:val="000000"/>
          <w:kern w:val="0"/>
          <w:sz w:val="32"/>
          <w:szCs w:val="32"/>
        </w:rPr>
        <w:t>持仓风险：</w:t>
      </w:r>
    </w:p>
    <w:p w14:paraId="1DFF74D9">
      <w:pPr>
        <w:widowControl/>
        <w:snapToGrid w:val="0"/>
        <w:spacing w:line="360" w:lineRule="auto"/>
        <w:ind w:firstLine="482" w:firstLineChars="200"/>
        <w:jc w:val="left"/>
        <w:rPr>
          <w:rFonts w:ascii="仿宋" w:hAnsi="仿宋" w:eastAsia="仿宋"/>
          <w:b/>
          <w:sz w:val="24"/>
          <w:szCs w:val="24"/>
        </w:rPr>
      </w:pPr>
      <w:r>
        <w:rPr>
          <w:rFonts w:hint="eastAsia" w:ascii="仿宋" w:hAnsi="仿宋" w:eastAsia="仿宋"/>
          <w:b/>
          <w:sz w:val="24"/>
          <w:szCs w:val="24"/>
        </w:rPr>
        <w:t>结构性存款不同于</w:t>
      </w:r>
      <w:r>
        <w:rPr>
          <w:rFonts w:ascii="仿宋" w:hAnsi="仿宋" w:eastAsia="仿宋"/>
          <w:b/>
          <w:sz w:val="24"/>
          <w:szCs w:val="24"/>
        </w:rPr>
        <w:t>一般性</w:t>
      </w:r>
      <w:r>
        <w:rPr>
          <w:rFonts w:hint="eastAsia" w:ascii="仿宋" w:hAnsi="仿宋" w:eastAsia="仿宋"/>
          <w:b/>
          <w:sz w:val="24"/>
          <w:szCs w:val="24"/>
        </w:rPr>
        <w:t>存款、具有</w:t>
      </w:r>
      <w:r>
        <w:rPr>
          <w:rFonts w:ascii="仿宋" w:hAnsi="仿宋" w:eastAsia="仿宋"/>
          <w:b/>
          <w:sz w:val="24"/>
          <w:szCs w:val="24"/>
        </w:rPr>
        <w:t>投资</w:t>
      </w:r>
      <w:r>
        <w:rPr>
          <w:rFonts w:hint="eastAsia" w:ascii="仿宋" w:hAnsi="仿宋" w:eastAsia="仿宋"/>
          <w:b/>
          <w:sz w:val="24"/>
          <w:szCs w:val="24"/>
        </w:rPr>
        <w:t>风险</w:t>
      </w:r>
      <w:r>
        <w:rPr>
          <w:rFonts w:ascii="仿宋" w:hAnsi="仿宋" w:eastAsia="仿宋"/>
          <w:b/>
          <w:sz w:val="24"/>
          <w:szCs w:val="24"/>
        </w:rPr>
        <w:t>，您应当</w:t>
      </w:r>
      <w:r>
        <w:rPr>
          <w:rFonts w:hint="eastAsia" w:ascii="仿宋" w:hAnsi="仿宋" w:eastAsia="仿宋"/>
          <w:b/>
          <w:sz w:val="24"/>
          <w:szCs w:val="24"/>
        </w:rPr>
        <w:t>充分</w:t>
      </w:r>
      <w:r>
        <w:rPr>
          <w:rFonts w:ascii="仿宋" w:hAnsi="仿宋" w:eastAsia="仿宋"/>
          <w:b/>
          <w:sz w:val="24"/>
          <w:szCs w:val="24"/>
        </w:rPr>
        <w:t>认识投资风险</w:t>
      </w:r>
      <w:r>
        <w:rPr>
          <w:rFonts w:hint="eastAsia" w:ascii="仿宋" w:hAnsi="仿宋" w:eastAsia="仿宋"/>
          <w:b/>
          <w:sz w:val="24"/>
          <w:szCs w:val="24"/>
        </w:rPr>
        <w:t>，谨慎投资。</w:t>
      </w:r>
      <w:r>
        <w:rPr>
          <w:rFonts w:hint="eastAsia" w:ascii="仿宋" w:hAnsi="仿宋" w:eastAsia="仿宋" w:cs="Segoe UI"/>
          <w:color w:val="000000"/>
          <w:sz w:val="24"/>
          <w:szCs w:val="24"/>
        </w:rPr>
        <w:t>本结构性存款本金，按照存款管理，纳入存款准备金和存款保险保费的缴纳范围。</w:t>
      </w:r>
      <w:r>
        <w:rPr>
          <w:rFonts w:hint="eastAsia" w:ascii="仿宋" w:hAnsi="仿宋" w:eastAsia="仿宋"/>
          <w:b/>
          <w:sz w:val="24"/>
          <w:szCs w:val="24"/>
        </w:rPr>
        <w:t>本结构性存款有投资风险，在出现最大风险或损失情况下，青岛银行仅对本产品的本金及按照产品说明书约定的</w:t>
      </w:r>
      <w:r>
        <w:rPr>
          <w:rFonts w:hint="eastAsia" w:ascii="仿宋_GB2312" w:hAnsi="宋体" w:eastAsia="仿宋_GB2312" w:cs="宋体"/>
          <w:b/>
          <w:bCs/>
          <w:kern w:val="0"/>
          <w:sz w:val="24"/>
        </w:rPr>
        <w:t>保底收益</w:t>
      </w:r>
      <w:r>
        <w:rPr>
          <w:rFonts w:hint="eastAsia" w:ascii="仿宋" w:hAnsi="仿宋" w:eastAsia="仿宋"/>
          <w:b/>
          <w:sz w:val="24"/>
          <w:szCs w:val="24"/>
        </w:rPr>
        <w:t>提供保证。</w:t>
      </w:r>
      <w:r>
        <w:rPr>
          <w:rFonts w:hint="eastAsia" w:ascii="仿宋" w:hAnsi="仿宋" w:eastAsia="仿宋" w:cs="Segoe UI"/>
          <w:color w:val="000000"/>
          <w:sz w:val="24"/>
          <w:szCs w:val="24"/>
        </w:rPr>
        <w:t>结构性存款收益不确定的风险由投资者自行承担。投资者应对此有充分的认识。</w:t>
      </w:r>
    </w:p>
    <w:p w14:paraId="16519F27">
      <w:pPr>
        <w:widowControl/>
        <w:snapToGrid w:val="0"/>
        <w:spacing w:line="360" w:lineRule="auto"/>
        <w:ind w:firstLine="480" w:firstLineChars="200"/>
        <w:jc w:val="left"/>
        <w:rPr>
          <w:rFonts w:ascii="仿宋" w:hAnsi="仿宋" w:eastAsia="仿宋"/>
          <w:sz w:val="24"/>
          <w:szCs w:val="24"/>
        </w:rPr>
      </w:pPr>
      <w:r>
        <w:rPr>
          <w:rFonts w:ascii="仿宋" w:hAnsi="仿宋" w:eastAsia="仿宋"/>
          <w:sz w:val="24"/>
          <w:szCs w:val="24"/>
        </w:rPr>
        <w:t>如</w:t>
      </w:r>
      <w:r>
        <w:rPr>
          <w:rFonts w:hint="eastAsia" w:ascii="仿宋" w:hAnsi="仿宋" w:eastAsia="仿宋"/>
          <w:b/>
          <w:sz w:val="24"/>
          <w:szCs w:val="24"/>
        </w:rPr>
        <w:t>您超过一年未进行风险承受能力评估或</w:t>
      </w:r>
      <w:r>
        <w:rPr>
          <w:rFonts w:ascii="仿宋" w:hAnsi="仿宋" w:eastAsia="仿宋"/>
          <w:sz w:val="24"/>
          <w:szCs w:val="24"/>
        </w:rPr>
        <w:t>影响您风险承受能力的因素发生变化</w:t>
      </w:r>
      <w:r>
        <w:rPr>
          <w:rFonts w:hint="eastAsia" w:ascii="仿宋" w:hAnsi="仿宋" w:eastAsia="仿宋"/>
          <w:sz w:val="24"/>
          <w:szCs w:val="24"/>
        </w:rPr>
        <w:t>的</w:t>
      </w:r>
      <w:r>
        <w:rPr>
          <w:rFonts w:ascii="仿宋" w:hAnsi="仿宋" w:eastAsia="仿宋"/>
          <w:sz w:val="24"/>
          <w:szCs w:val="24"/>
        </w:rPr>
        <w:t>，请及时完成风险承受能力评估。</w:t>
      </w:r>
      <w:r>
        <w:rPr>
          <w:rFonts w:ascii="仿宋" w:hAnsi="仿宋" w:eastAsia="仿宋" w:cs="Times New Roman"/>
          <w:sz w:val="24"/>
          <w:szCs w:val="24"/>
        </w:rPr>
        <w:t>风险</w:t>
      </w:r>
      <w:r>
        <w:rPr>
          <w:rFonts w:ascii="仿宋" w:hAnsi="仿宋" w:eastAsia="仿宋"/>
          <w:sz w:val="24"/>
          <w:szCs w:val="24"/>
        </w:rPr>
        <w:t>承受能力评估须由投资者本人填写。</w:t>
      </w:r>
    </w:p>
    <w:p w14:paraId="0F3C05F8">
      <w:pPr>
        <w:widowControl/>
        <w:snapToGrid w:val="0"/>
        <w:spacing w:line="360" w:lineRule="auto"/>
        <w:ind w:firstLine="480" w:firstLineChars="200"/>
        <w:jc w:val="left"/>
        <w:rPr>
          <w:rFonts w:ascii="仿宋" w:hAnsi="仿宋" w:eastAsia="仿宋"/>
          <w:sz w:val="24"/>
          <w:szCs w:val="24"/>
        </w:rPr>
      </w:pPr>
      <w:r>
        <w:rPr>
          <w:rFonts w:hint="eastAsia" w:ascii="仿宋_GB2312" w:hAnsi="宋体" w:eastAsia="仿宋_GB2312" w:cs="仿宋_GB2312"/>
          <w:kern w:val="0"/>
          <w:sz w:val="24"/>
        </w:rPr>
        <w:t>投资者投资本结构性存款可能面临的风险主要包括（但不限于）：</w:t>
      </w:r>
    </w:p>
    <w:p w14:paraId="097039AE">
      <w:pPr>
        <w:widowControl/>
        <w:snapToGrid w:val="0"/>
        <w:ind w:firstLine="482" w:firstLineChars="200"/>
        <w:jc w:val="left"/>
        <w:rPr>
          <w:rFonts w:hint="eastAsia" w:ascii="仿宋" w:hAnsi="仿宋" w:eastAsia="仿宋" w:cs="仿宋"/>
          <w:sz w:val="24"/>
          <w:szCs w:val="24"/>
        </w:rPr>
      </w:pPr>
      <w:r>
        <w:rPr>
          <w:rFonts w:hint="eastAsia" w:ascii="仿宋" w:hAnsi="仿宋" w:eastAsia="仿宋" w:cs="仿宋"/>
          <w:b/>
          <w:kern w:val="44"/>
          <w:sz w:val="24"/>
          <w:szCs w:val="24"/>
        </w:rPr>
        <w:t>1.市场风险</w:t>
      </w:r>
      <w:r>
        <w:rPr>
          <w:rFonts w:hint="eastAsia" w:ascii="仿宋" w:hAnsi="仿宋" w:eastAsia="仿宋" w:cs="仿宋"/>
          <w:b/>
          <w:kern w:val="44"/>
          <w:sz w:val="24"/>
          <w:szCs w:val="24"/>
          <w:lang w:eastAsia="zh-CN"/>
        </w:rPr>
        <w:t>：</w:t>
      </w:r>
      <w:r>
        <w:rPr>
          <w:rFonts w:hint="eastAsia" w:ascii="仿宋" w:hAnsi="仿宋" w:eastAsia="仿宋" w:cs="仿宋"/>
          <w:sz w:val="24"/>
          <w:szCs w:val="24"/>
        </w:rPr>
        <w:t>结构性存款产品收益取决于挂钩标的的市场变化，受多种市场因素的影响。</w:t>
      </w:r>
      <w:r>
        <w:rPr>
          <w:rFonts w:hint="eastAsia" w:ascii="仿宋" w:hAnsi="仿宋" w:eastAsia="仿宋" w:cs="仿宋"/>
          <w:b/>
          <w:bCs/>
          <w:sz w:val="24"/>
          <w:szCs w:val="24"/>
        </w:rPr>
        <w:t>在产品存续期内，可能会因利率市场、汇率市场、黄金市场等一种或多种市场风险，导致产品实际收益的波动。</w:t>
      </w:r>
      <w:r>
        <w:rPr>
          <w:rFonts w:hint="eastAsia" w:ascii="仿宋" w:hAnsi="仿宋" w:eastAsia="仿宋" w:cs="仿宋"/>
          <w:sz w:val="24"/>
          <w:szCs w:val="24"/>
        </w:rPr>
        <w:t>根据产品设计不同，可能会出现如市场利率大幅上升，但产品的年化收益率不会随市场利率上升而调整，或因挂钩标的突破目标区间，</w:t>
      </w:r>
      <w:r>
        <w:rPr>
          <w:rFonts w:hint="eastAsia" w:ascii="仿宋" w:hAnsi="仿宋" w:eastAsia="仿宋" w:cs="仿宋"/>
          <w:sz w:val="24"/>
          <w:szCs w:val="24"/>
          <w:highlight w:val="none"/>
        </w:rPr>
        <w:t>投资者无法获得高于保底收益等收益不确定情形。</w:t>
      </w:r>
      <w:r>
        <w:rPr>
          <w:rFonts w:hint="eastAsia" w:ascii="仿宋" w:hAnsi="仿宋" w:eastAsia="仿宋" w:cs="仿宋"/>
          <w:b/>
          <w:bCs/>
          <w:sz w:val="24"/>
          <w:szCs w:val="24"/>
        </w:rPr>
        <w:t>收益不确定的风险由投资者自行承担。</w:t>
      </w:r>
    </w:p>
    <w:p w14:paraId="097039AF">
      <w:pPr>
        <w:widowControl/>
        <w:snapToGrid w:val="0"/>
        <w:ind w:firstLine="482" w:firstLineChars="200"/>
        <w:jc w:val="left"/>
        <w:rPr>
          <w:rFonts w:hint="eastAsia" w:ascii="仿宋" w:hAnsi="仿宋" w:eastAsia="仿宋" w:cs="仿宋"/>
          <w:b/>
          <w:kern w:val="44"/>
          <w:sz w:val="24"/>
          <w:szCs w:val="24"/>
        </w:rPr>
      </w:pPr>
      <w:r>
        <w:rPr>
          <w:rFonts w:hint="eastAsia" w:ascii="仿宋" w:hAnsi="仿宋" w:eastAsia="仿宋" w:cs="仿宋"/>
          <w:b/>
          <w:kern w:val="44"/>
          <w:sz w:val="24"/>
          <w:szCs w:val="24"/>
        </w:rPr>
        <w:t>2</w:t>
      </w:r>
      <w:r>
        <w:rPr>
          <w:rFonts w:hint="eastAsia" w:ascii="仿宋" w:hAnsi="仿宋" w:eastAsia="仿宋" w:cs="仿宋"/>
          <w:b/>
          <w:kern w:val="44"/>
          <w:sz w:val="24"/>
          <w:szCs w:val="24"/>
          <w:lang w:eastAsia="zh-CN"/>
        </w:rPr>
        <w:t>.</w:t>
      </w:r>
      <w:r>
        <w:rPr>
          <w:rFonts w:hint="eastAsia" w:ascii="仿宋" w:hAnsi="仿宋" w:eastAsia="仿宋" w:cs="仿宋"/>
          <w:b/>
          <w:kern w:val="44"/>
          <w:sz w:val="24"/>
          <w:szCs w:val="24"/>
        </w:rPr>
        <w:t>认购风险</w:t>
      </w:r>
      <w:r>
        <w:rPr>
          <w:rFonts w:hint="eastAsia" w:ascii="仿宋" w:hAnsi="仿宋" w:eastAsia="仿宋" w:cs="仿宋"/>
          <w:b/>
          <w:kern w:val="44"/>
          <w:sz w:val="24"/>
          <w:szCs w:val="24"/>
          <w:lang w:eastAsia="zh-CN"/>
        </w:rPr>
        <w:t>：</w:t>
      </w:r>
      <w:r>
        <w:rPr>
          <w:rFonts w:hint="eastAsia" w:ascii="仿宋" w:hAnsi="仿宋" w:eastAsia="仿宋" w:cs="仿宋"/>
          <w:b w:val="0"/>
          <w:bCs/>
          <w:kern w:val="44"/>
          <w:sz w:val="24"/>
          <w:szCs w:val="24"/>
        </w:rPr>
        <w:t>如出现市场剧烈波动，相关法规政策变化等可能影响本结构性存款产品正常运作的情况，青岛银行有权停止发售本结构性存款产品，投资者将无法在约定认购期内购买本结构性存款产品。</w:t>
      </w:r>
    </w:p>
    <w:p w14:paraId="097039B0">
      <w:pPr>
        <w:widowControl/>
        <w:snapToGrid w:val="0"/>
        <w:ind w:firstLine="482" w:firstLineChars="200"/>
        <w:jc w:val="left"/>
        <w:rPr>
          <w:rStyle w:val="10"/>
          <w:rFonts w:hint="eastAsia" w:ascii="仿宋" w:hAnsi="仿宋" w:eastAsia="仿宋" w:cs="仿宋"/>
          <w:sz w:val="24"/>
          <w:szCs w:val="24"/>
        </w:rPr>
      </w:pPr>
      <w:r>
        <w:rPr>
          <w:rFonts w:hint="eastAsia" w:ascii="仿宋" w:hAnsi="仿宋" w:eastAsia="仿宋" w:cs="仿宋"/>
          <w:b/>
          <w:kern w:val="44"/>
          <w:sz w:val="24"/>
          <w:szCs w:val="24"/>
        </w:rPr>
        <w:t>3.利率风险：</w:t>
      </w:r>
      <w:r>
        <w:rPr>
          <w:rFonts w:hint="eastAsia" w:ascii="仿宋" w:hAnsi="仿宋" w:eastAsia="仿宋" w:cs="仿宋"/>
          <w:sz w:val="24"/>
          <w:szCs w:val="24"/>
        </w:rPr>
        <w:t>本产品存续期内，如果市场利率发生变化，本产品收益率不随市场利率变化而变化;如果发生通货膨胀，则投资于产品所获得的收益可能会被通货膨胀抵消，从而对结构性存款收益产生影响</w:t>
      </w:r>
      <w:r>
        <w:rPr>
          <w:rStyle w:val="10"/>
          <w:rFonts w:hint="eastAsia" w:ascii="仿宋" w:hAnsi="仿宋" w:eastAsia="仿宋" w:cs="仿宋"/>
          <w:sz w:val="24"/>
          <w:szCs w:val="24"/>
        </w:rPr>
        <w:t>。</w:t>
      </w:r>
    </w:p>
    <w:p w14:paraId="097039B1">
      <w:pPr>
        <w:widowControl/>
        <w:snapToGrid w:val="0"/>
        <w:ind w:firstLine="482" w:firstLineChars="200"/>
        <w:jc w:val="left"/>
        <w:rPr>
          <w:rFonts w:hint="eastAsia" w:ascii="仿宋" w:hAnsi="仿宋" w:eastAsia="仿宋" w:cs="仿宋"/>
          <w:sz w:val="24"/>
          <w:szCs w:val="24"/>
        </w:rPr>
      </w:pPr>
      <w:r>
        <w:rPr>
          <w:rFonts w:hint="eastAsia" w:ascii="仿宋" w:hAnsi="仿宋" w:eastAsia="仿宋" w:cs="仿宋"/>
          <w:b/>
          <w:kern w:val="44"/>
          <w:sz w:val="24"/>
          <w:szCs w:val="24"/>
        </w:rPr>
        <w:t>4</w:t>
      </w:r>
      <w:r>
        <w:rPr>
          <w:rFonts w:hint="eastAsia" w:ascii="仿宋" w:hAnsi="仿宋" w:eastAsia="仿宋" w:cs="仿宋"/>
          <w:b/>
          <w:kern w:val="44"/>
          <w:sz w:val="24"/>
          <w:szCs w:val="24"/>
          <w:lang w:eastAsia="zh-CN"/>
        </w:rPr>
        <w:t>.</w:t>
      </w:r>
      <w:r>
        <w:rPr>
          <w:rFonts w:hint="eastAsia" w:ascii="仿宋" w:hAnsi="仿宋" w:eastAsia="仿宋" w:cs="仿宋"/>
          <w:b/>
          <w:kern w:val="44"/>
          <w:sz w:val="24"/>
          <w:szCs w:val="24"/>
        </w:rPr>
        <w:t>流动性风险：</w:t>
      </w:r>
      <w:r>
        <w:rPr>
          <w:rFonts w:hint="eastAsia" w:ascii="仿宋" w:hAnsi="仿宋" w:eastAsia="仿宋" w:cs="仿宋"/>
          <w:b/>
          <w:sz w:val="24"/>
          <w:szCs w:val="24"/>
        </w:rPr>
        <w:t>存款期限内，投资本结构性存款的投资者不能提前终止或赎回</w:t>
      </w:r>
      <w:r>
        <w:rPr>
          <w:rFonts w:hint="eastAsia" w:ascii="仿宋" w:hAnsi="仿宋" w:eastAsia="仿宋" w:cs="仿宋"/>
          <w:sz w:val="24"/>
          <w:szCs w:val="24"/>
        </w:rPr>
        <w:t>，投资者须持有本产品到期，面临产品存续期间不能提前支取的流动性风险。</w:t>
      </w:r>
    </w:p>
    <w:p w14:paraId="097039B2">
      <w:pPr>
        <w:pStyle w:val="14"/>
        <w:snapToGrid w:val="0"/>
        <w:ind w:firstLine="482" w:firstLineChars="200"/>
        <w:jc w:val="both"/>
        <w:rPr>
          <w:rFonts w:hint="eastAsia" w:ascii="仿宋" w:hAnsi="仿宋" w:eastAsia="仿宋" w:cs="仿宋"/>
          <w:color w:val="auto"/>
          <w:kern w:val="2"/>
          <w:sz w:val="24"/>
          <w:szCs w:val="24"/>
        </w:rPr>
      </w:pPr>
      <w:r>
        <w:rPr>
          <w:rFonts w:hint="eastAsia" w:ascii="仿宋" w:hAnsi="仿宋" w:eastAsia="仿宋" w:cs="仿宋"/>
          <w:b/>
          <w:color w:val="auto"/>
          <w:kern w:val="44"/>
          <w:sz w:val="24"/>
          <w:szCs w:val="24"/>
        </w:rPr>
        <w:t>5</w:t>
      </w:r>
      <w:r>
        <w:rPr>
          <w:rFonts w:hint="eastAsia" w:ascii="仿宋" w:hAnsi="仿宋" w:eastAsia="仿宋" w:cs="仿宋"/>
          <w:b/>
          <w:color w:val="auto"/>
          <w:kern w:val="44"/>
          <w:sz w:val="24"/>
          <w:szCs w:val="24"/>
          <w:lang w:eastAsia="zh-CN"/>
        </w:rPr>
        <w:t>.</w:t>
      </w:r>
      <w:r>
        <w:rPr>
          <w:rFonts w:hint="eastAsia" w:ascii="仿宋" w:hAnsi="仿宋" w:eastAsia="仿宋" w:cs="仿宋"/>
          <w:b/>
          <w:color w:val="auto"/>
          <w:kern w:val="44"/>
          <w:sz w:val="24"/>
          <w:szCs w:val="24"/>
        </w:rPr>
        <w:t>政策风险</w:t>
      </w:r>
      <w:r>
        <w:rPr>
          <w:rFonts w:hint="eastAsia" w:ascii="仿宋" w:hAnsi="仿宋" w:eastAsia="仿宋" w:cs="仿宋"/>
          <w:b/>
          <w:color w:val="auto"/>
          <w:kern w:val="44"/>
          <w:sz w:val="24"/>
          <w:szCs w:val="24"/>
          <w:lang w:eastAsia="zh-CN"/>
        </w:rPr>
        <w:t>：</w:t>
      </w:r>
      <w:r>
        <w:rPr>
          <w:rFonts w:hint="eastAsia" w:ascii="仿宋" w:hAnsi="仿宋" w:eastAsia="仿宋" w:cs="仿宋"/>
          <w:color w:val="auto"/>
          <w:kern w:val="2"/>
          <w:sz w:val="24"/>
          <w:szCs w:val="24"/>
        </w:rPr>
        <w:t>本结构性存款产品是根据当前的法律法规和政策设计的。如国家宏观政策以及相关法律法规、政策发生变化，可能影响本产品的认购、投资运作、清算等业务的正常进行，导致本产品收益降低。</w:t>
      </w:r>
    </w:p>
    <w:p w14:paraId="097039B3">
      <w:pPr>
        <w:widowControl/>
        <w:snapToGrid w:val="0"/>
        <w:ind w:firstLine="482" w:firstLineChars="200"/>
        <w:jc w:val="left"/>
        <w:rPr>
          <w:rFonts w:hint="eastAsia" w:ascii="仿宋" w:hAnsi="仿宋" w:eastAsia="仿宋" w:cs="仿宋"/>
          <w:sz w:val="24"/>
          <w:szCs w:val="24"/>
        </w:rPr>
      </w:pPr>
      <w:r>
        <w:rPr>
          <w:rFonts w:hint="eastAsia" w:ascii="仿宋" w:hAnsi="仿宋" w:eastAsia="仿宋" w:cs="仿宋"/>
          <w:b/>
          <w:kern w:val="44"/>
          <w:sz w:val="24"/>
          <w:szCs w:val="24"/>
        </w:rPr>
        <w:t>6</w:t>
      </w:r>
      <w:r>
        <w:rPr>
          <w:rFonts w:hint="eastAsia" w:ascii="仿宋" w:hAnsi="仿宋" w:eastAsia="仿宋" w:cs="仿宋"/>
          <w:b/>
          <w:kern w:val="44"/>
          <w:sz w:val="24"/>
          <w:szCs w:val="24"/>
          <w:lang w:eastAsia="zh-CN"/>
        </w:rPr>
        <w:t>.</w:t>
      </w:r>
      <w:r>
        <w:rPr>
          <w:rFonts w:hint="eastAsia" w:ascii="仿宋" w:hAnsi="仿宋" w:eastAsia="仿宋" w:cs="仿宋"/>
          <w:b/>
          <w:kern w:val="44"/>
          <w:sz w:val="24"/>
          <w:szCs w:val="24"/>
        </w:rPr>
        <w:t>管理人风险</w:t>
      </w:r>
      <w:r>
        <w:rPr>
          <w:rFonts w:hint="eastAsia" w:ascii="仿宋" w:hAnsi="仿宋" w:eastAsia="仿宋" w:cs="仿宋"/>
          <w:b/>
          <w:kern w:val="44"/>
          <w:sz w:val="24"/>
          <w:szCs w:val="24"/>
          <w:lang w:eastAsia="zh-CN"/>
        </w:rPr>
        <w:t>：</w:t>
      </w:r>
      <w:r>
        <w:rPr>
          <w:rFonts w:hint="eastAsia" w:ascii="仿宋" w:hAnsi="仿宋" w:eastAsia="仿宋" w:cs="仿宋"/>
          <w:sz w:val="24"/>
          <w:szCs w:val="24"/>
        </w:rPr>
        <w:t>由于管理人(包括结构性存款的管理人、相关投资顾问(如有))等受经验、技能等因素的限制，会影响其对信息的获取和对经济形势、金融市场价格走势的判断。如管理人判断有误、获取信息不全、或对投资工具使用不当等，可能会影响本结构性存款的收益。如结构性存款管理人内部作业、人员管理及系统操作不当或失误，或违背相关合同约定、未严格执行风险控制措施、处理事务不当等，可能会影响本结构性存款的收益。</w:t>
      </w:r>
    </w:p>
    <w:p w14:paraId="097039B4">
      <w:pPr>
        <w:widowControl/>
        <w:snapToGrid w:val="0"/>
        <w:ind w:firstLine="482" w:firstLineChars="200"/>
        <w:jc w:val="both"/>
        <w:rPr>
          <w:rFonts w:hint="eastAsia" w:ascii="仿宋" w:hAnsi="仿宋" w:eastAsia="仿宋" w:cs="仿宋"/>
          <w:b w:val="0"/>
          <w:bCs w:val="0"/>
          <w:kern w:val="2"/>
          <w:sz w:val="24"/>
          <w:szCs w:val="24"/>
        </w:rPr>
      </w:pPr>
      <w:r>
        <w:rPr>
          <w:rFonts w:hint="eastAsia" w:ascii="仿宋" w:hAnsi="仿宋" w:eastAsia="仿宋" w:cs="仿宋"/>
          <w:b/>
          <w:kern w:val="44"/>
          <w:sz w:val="24"/>
          <w:szCs w:val="24"/>
        </w:rPr>
        <w:t>7.欠缺投资经验的风险：</w:t>
      </w:r>
      <w:r>
        <w:rPr>
          <w:rFonts w:hint="eastAsia" w:ascii="仿宋" w:hAnsi="仿宋" w:eastAsia="仿宋" w:cs="仿宋"/>
          <w:kern w:val="2"/>
          <w:sz w:val="24"/>
          <w:szCs w:val="24"/>
        </w:rPr>
        <w:t>本存款的浮动利率与挂钩标的的价格水平挂钩，利息计算较为复杂，</w:t>
      </w:r>
      <w:r>
        <w:rPr>
          <w:rFonts w:hint="eastAsia" w:ascii="仿宋" w:hAnsi="仿宋" w:eastAsia="仿宋" w:cs="仿宋"/>
          <w:b w:val="0"/>
          <w:bCs w:val="0"/>
          <w:kern w:val="2"/>
          <w:sz w:val="24"/>
          <w:szCs w:val="24"/>
        </w:rPr>
        <w:t>故只适合于具备相关投资经验和风险承受能力的存款人。</w:t>
      </w:r>
    </w:p>
    <w:p w14:paraId="097039B6">
      <w:pPr>
        <w:widowControl/>
        <w:snapToGrid w:val="0"/>
        <w:ind w:firstLine="482" w:firstLineChars="200"/>
        <w:jc w:val="both"/>
        <w:rPr>
          <w:rFonts w:hint="eastAsia" w:ascii="仿宋" w:hAnsi="仿宋" w:eastAsia="仿宋" w:cs="仿宋"/>
          <w:b w:val="0"/>
          <w:bCs w:val="0"/>
          <w:sz w:val="24"/>
          <w:szCs w:val="24"/>
        </w:rPr>
      </w:pPr>
      <w:r>
        <w:rPr>
          <w:rFonts w:hint="eastAsia" w:ascii="仿宋" w:hAnsi="仿宋" w:eastAsia="仿宋" w:cs="仿宋"/>
          <w:b/>
          <w:bCs w:val="0"/>
          <w:kern w:val="44"/>
          <w:sz w:val="24"/>
          <w:szCs w:val="24"/>
        </w:rPr>
        <w:t>8.信息传递风险</w:t>
      </w:r>
      <w:r>
        <w:rPr>
          <w:rFonts w:hint="eastAsia" w:ascii="仿宋" w:hAnsi="仿宋" w:eastAsia="仿宋" w:cs="仿宋"/>
          <w:b/>
          <w:bCs w:val="0"/>
          <w:kern w:val="44"/>
          <w:sz w:val="24"/>
          <w:szCs w:val="24"/>
          <w:lang w:eastAsia="zh-CN"/>
        </w:rPr>
        <w:t>：</w:t>
      </w:r>
      <w:r>
        <w:rPr>
          <w:rFonts w:hint="eastAsia" w:ascii="仿宋" w:hAnsi="仿宋" w:eastAsia="仿宋" w:cs="仿宋"/>
          <w:b w:val="0"/>
          <w:bCs w:val="0"/>
          <w:sz w:val="24"/>
          <w:szCs w:val="24"/>
        </w:rPr>
        <w:t>青岛银行将按照结构性存款产品说明书“信息公告与披露”的约定，发布本结构性存款产品的相关信息。如投资者在认购产品时登记的有效联系方式发生变更且未及时告知或因投资者其他原因导致青岛银行无法及时联系到投资者，则可能影响投资者的投资决策，并可能导致投资者丧失提前退出及再投资的机会，因此而产生的责任和风险由投资者自行承担。</w:t>
      </w:r>
    </w:p>
    <w:p w14:paraId="097039B8">
      <w:pPr>
        <w:pStyle w:val="14"/>
        <w:numPr>
          <w:ilvl w:val="255"/>
          <w:numId w:val="0"/>
        </w:numPr>
        <w:snapToGrid w:val="0"/>
        <w:ind w:firstLine="482" w:firstLineChars="200"/>
        <w:jc w:val="both"/>
        <w:rPr>
          <w:rFonts w:hint="eastAsia" w:ascii="仿宋" w:hAnsi="仿宋" w:eastAsia="仿宋" w:cs="仿宋"/>
          <w:b w:val="0"/>
          <w:bCs/>
          <w:color w:val="auto"/>
          <w:kern w:val="2"/>
          <w:sz w:val="24"/>
          <w:szCs w:val="24"/>
        </w:rPr>
      </w:pPr>
      <w:r>
        <w:rPr>
          <w:rFonts w:hint="eastAsia" w:ascii="仿宋" w:hAnsi="仿宋" w:eastAsia="仿宋" w:cs="仿宋"/>
          <w:b/>
          <w:color w:val="auto"/>
          <w:kern w:val="44"/>
          <w:sz w:val="24"/>
          <w:szCs w:val="24"/>
        </w:rPr>
        <w:t>9</w:t>
      </w:r>
      <w:r>
        <w:rPr>
          <w:rFonts w:hint="eastAsia" w:ascii="仿宋" w:hAnsi="仿宋" w:eastAsia="仿宋" w:cs="仿宋"/>
          <w:b/>
          <w:color w:val="auto"/>
          <w:kern w:val="44"/>
          <w:sz w:val="24"/>
          <w:szCs w:val="24"/>
          <w:lang w:eastAsia="zh-CN"/>
        </w:rPr>
        <w:t>.</w:t>
      </w:r>
      <w:r>
        <w:rPr>
          <w:rFonts w:hint="eastAsia" w:ascii="仿宋" w:hAnsi="仿宋" w:eastAsia="仿宋" w:cs="仿宋"/>
          <w:b/>
          <w:color w:val="auto"/>
          <w:kern w:val="44"/>
          <w:sz w:val="24"/>
          <w:szCs w:val="24"/>
        </w:rPr>
        <w:t>产品不成立风险</w:t>
      </w:r>
      <w:r>
        <w:rPr>
          <w:rFonts w:hint="eastAsia" w:ascii="仿宋" w:hAnsi="仿宋" w:eastAsia="仿宋" w:cs="仿宋"/>
          <w:b/>
          <w:color w:val="auto"/>
          <w:kern w:val="44"/>
          <w:sz w:val="24"/>
          <w:szCs w:val="24"/>
          <w:lang w:eastAsia="zh-CN"/>
        </w:rPr>
        <w:t>：</w:t>
      </w:r>
      <w:r>
        <w:rPr>
          <w:rFonts w:hint="eastAsia" w:ascii="仿宋" w:hAnsi="仿宋" w:eastAsia="仿宋" w:cs="仿宋"/>
          <w:b w:val="0"/>
          <w:bCs/>
          <w:color w:val="auto"/>
          <w:kern w:val="2"/>
          <w:sz w:val="24"/>
          <w:szCs w:val="24"/>
        </w:rPr>
        <w:t>如自本产品开始认购至产品原定成立日之前，产品认购总金额未达到募集下限，或国家宏观政策以及市场相关法规政策发生变化，或市场发生剧烈波动，经青岛银行合理判断难以按照本产品说明书规定向投资者提供本产品，青岛银行将宣布本产品不成立。如产品不成立，青岛银行将于原定起息日后2个工作日内将已认购资金退回存款人账户。如果产品不成立，投资者除无法获得本产品约定的投资收益外，还将影响其投资安排。</w:t>
      </w:r>
    </w:p>
    <w:p w14:paraId="097039B9">
      <w:pPr>
        <w:pStyle w:val="2"/>
        <w:snapToGrid w:val="0"/>
        <w:ind w:firstLine="482" w:firstLineChars="200"/>
        <w:jc w:val="both"/>
        <w:rPr>
          <w:rFonts w:hint="eastAsia" w:ascii="仿宋" w:hAnsi="仿宋" w:eastAsia="仿宋" w:cs="仿宋"/>
          <w:b w:val="0"/>
          <w:bCs/>
          <w:sz w:val="24"/>
          <w:szCs w:val="24"/>
        </w:rPr>
      </w:pPr>
      <w:r>
        <w:rPr>
          <w:rFonts w:hint="eastAsia" w:ascii="仿宋" w:hAnsi="仿宋" w:eastAsia="仿宋" w:cs="仿宋"/>
          <w:b/>
          <w:kern w:val="44"/>
          <w:sz w:val="24"/>
          <w:szCs w:val="24"/>
        </w:rPr>
        <w:t>10.提前终止风险</w:t>
      </w:r>
      <w:r>
        <w:rPr>
          <w:rFonts w:hint="eastAsia" w:ascii="仿宋" w:hAnsi="仿宋" w:eastAsia="仿宋" w:cs="仿宋"/>
          <w:b/>
          <w:kern w:val="44"/>
          <w:sz w:val="24"/>
          <w:szCs w:val="24"/>
          <w:lang w:eastAsia="zh-CN"/>
        </w:rPr>
        <w:t>：</w:t>
      </w:r>
      <w:r>
        <w:rPr>
          <w:rFonts w:hint="eastAsia" w:ascii="仿宋" w:hAnsi="仿宋" w:eastAsia="仿宋" w:cs="仿宋"/>
          <w:b w:val="0"/>
          <w:bCs/>
          <w:kern w:val="44"/>
          <w:sz w:val="24"/>
          <w:szCs w:val="24"/>
        </w:rPr>
        <w:t>在本结构性存款存续期内，若遇市场剧烈波动、国家金融政策出现重大调整、不可抗力等原因影响结构性存款正常运行时，青岛银行有权根据市场状况、自身情况提前终止本结构性存款产品，投资者必须考虑产品提前终止时无法取得预期收益的风险。 </w:t>
      </w:r>
      <w:r>
        <w:rPr>
          <w:rFonts w:hint="eastAsia" w:ascii="仿宋" w:hAnsi="仿宋" w:eastAsia="仿宋" w:cs="仿宋"/>
          <w:bCs/>
          <w:sz w:val="24"/>
          <w:szCs w:val="24"/>
        </w:rPr>
        <w:t xml:space="preserve"> </w:t>
      </w:r>
    </w:p>
    <w:p w14:paraId="097039BA">
      <w:pPr>
        <w:ind w:firstLine="420"/>
        <w:jc w:val="both"/>
        <w:rPr>
          <w:rFonts w:hint="eastAsia" w:ascii="仿宋" w:hAnsi="仿宋" w:eastAsia="仿宋" w:cs="仿宋"/>
          <w:sz w:val="24"/>
          <w:szCs w:val="24"/>
        </w:rPr>
      </w:pPr>
      <w:r>
        <w:rPr>
          <w:rFonts w:hint="eastAsia" w:ascii="仿宋" w:hAnsi="仿宋" w:eastAsia="仿宋" w:cs="仿宋"/>
          <w:b/>
          <w:kern w:val="44"/>
          <w:sz w:val="24"/>
          <w:szCs w:val="24"/>
        </w:rPr>
        <w:t>11.不可抗力及意外事件风险</w:t>
      </w:r>
      <w:r>
        <w:rPr>
          <w:rFonts w:hint="eastAsia" w:ascii="仿宋" w:hAnsi="仿宋" w:eastAsia="仿宋" w:cs="仿宋"/>
          <w:b/>
          <w:kern w:val="44"/>
          <w:sz w:val="24"/>
          <w:szCs w:val="24"/>
          <w:lang w:eastAsia="zh-CN"/>
        </w:rPr>
        <w:t>：</w:t>
      </w:r>
      <w:r>
        <w:rPr>
          <w:rFonts w:hint="eastAsia" w:ascii="仿宋" w:hAnsi="仿宋" w:eastAsia="仿宋" w:cs="仿宋"/>
          <w:sz w:val="24"/>
          <w:szCs w:val="24"/>
        </w:rPr>
        <w:t>因自然灾害、火灾、战争、疫情或者国家有关法规政策及市场环境的突变等不可抗力，或其他非青岛银行原因导致个人结构性存款产品募集失败、兑付延迟或提前终止等风险及损失，青岛银行不承担责任，但青岛银行将在条件允许的情况下第一时间通过网点或网站公告形式通知投资者，并采取一切必要补救措施减小投资者损失。</w:t>
      </w:r>
    </w:p>
    <w:p w14:paraId="097039BB">
      <w:pPr>
        <w:ind w:firstLine="420"/>
        <w:jc w:val="left"/>
        <w:rPr>
          <w:rFonts w:hint="eastAsia" w:ascii="仿宋" w:hAnsi="仿宋" w:eastAsia="仿宋" w:cs="仿宋"/>
          <w:sz w:val="24"/>
          <w:szCs w:val="24"/>
        </w:rPr>
      </w:pPr>
      <w:r>
        <w:rPr>
          <w:rFonts w:hint="eastAsia" w:ascii="仿宋" w:hAnsi="仿宋" w:eastAsia="仿宋" w:cs="仿宋"/>
          <w:b/>
          <w:kern w:val="44"/>
          <w:sz w:val="24"/>
          <w:szCs w:val="24"/>
        </w:rPr>
        <w:t>12.信用风险</w:t>
      </w:r>
      <w:r>
        <w:rPr>
          <w:rFonts w:hint="eastAsia" w:ascii="仿宋" w:hAnsi="仿宋" w:eastAsia="仿宋" w:cs="仿宋"/>
          <w:b/>
          <w:kern w:val="44"/>
          <w:sz w:val="24"/>
          <w:szCs w:val="24"/>
          <w:lang w:eastAsia="zh-CN"/>
        </w:rPr>
        <w:t>：</w:t>
      </w:r>
      <w:r>
        <w:rPr>
          <w:rFonts w:hint="eastAsia" w:ascii="仿宋" w:hAnsi="仿宋" w:eastAsia="仿宋" w:cs="仿宋"/>
          <w:sz w:val="24"/>
          <w:szCs w:val="24"/>
        </w:rPr>
        <w:t>青岛银行发生信用风险的极端情况下，如被依法撤销或被申请破产等，将对本结构性存款产品的认购本金及收益支付产生影响。</w:t>
      </w:r>
    </w:p>
    <w:p w14:paraId="097039BC">
      <w:pPr>
        <w:ind w:firstLine="420"/>
        <w:jc w:val="both"/>
        <w:rPr>
          <w:rFonts w:hint="eastAsia" w:ascii="仿宋" w:hAnsi="仿宋" w:eastAsia="仿宋" w:cs="仿宋"/>
          <w:sz w:val="24"/>
          <w:szCs w:val="24"/>
        </w:rPr>
      </w:pPr>
      <w:r>
        <w:rPr>
          <w:rFonts w:hint="eastAsia" w:ascii="仿宋" w:hAnsi="仿宋" w:eastAsia="仿宋" w:cs="仿宋"/>
          <w:b/>
          <w:kern w:val="44"/>
          <w:sz w:val="24"/>
          <w:szCs w:val="24"/>
        </w:rPr>
        <w:t>13.数据来源风险</w:t>
      </w:r>
      <w:r>
        <w:rPr>
          <w:rFonts w:hint="eastAsia" w:ascii="仿宋" w:hAnsi="仿宋" w:eastAsia="仿宋" w:cs="仿宋"/>
          <w:b/>
          <w:kern w:val="44"/>
          <w:sz w:val="24"/>
          <w:szCs w:val="24"/>
          <w:lang w:eastAsia="zh-CN"/>
        </w:rPr>
        <w:t>：</w:t>
      </w:r>
      <w:r>
        <w:rPr>
          <w:rFonts w:hint="eastAsia" w:ascii="仿宋" w:hAnsi="仿宋" w:eastAsia="仿宋" w:cs="仿宋"/>
          <w:sz w:val="24"/>
          <w:szCs w:val="24"/>
        </w:rPr>
        <w:t>在本结构性存款收益率的计算中，需要使用到数据提供商提供的挂钩标的的价格水平。如果届时产品说明书中约定的数据提供商提供的参照页面不能给出本产品说明书所需的价格水平，青岛银行将本着公平、公正、公允的原则，选择市场认可的合理的价格水平进行计算。由此可能导致产品实际收益与预期计算的收益不符的风险。</w:t>
      </w:r>
    </w:p>
    <w:p w14:paraId="097039BD">
      <w:pPr>
        <w:ind w:firstLine="420"/>
        <w:jc w:val="both"/>
        <w:rPr>
          <w:rFonts w:hint="eastAsia" w:ascii="仿宋" w:hAnsi="仿宋" w:eastAsia="仿宋" w:cs="仿宋"/>
          <w:sz w:val="24"/>
          <w:szCs w:val="24"/>
        </w:rPr>
      </w:pPr>
      <w:r>
        <w:rPr>
          <w:rFonts w:hint="eastAsia" w:ascii="仿宋" w:hAnsi="仿宋" w:eastAsia="仿宋" w:cs="仿宋"/>
          <w:b/>
          <w:kern w:val="44"/>
          <w:sz w:val="24"/>
          <w:szCs w:val="24"/>
        </w:rPr>
        <w:t>14.观察日调整风险</w:t>
      </w:r>
      <w:r>
        <w:rPr>
          <w:rFonts w:hint="eastAsia" w:ascii="仿宋" w:hAnsi="仿宋" w:eastAsia="仿宋" w:cs="仿宋"/>
          <w:b/>
          <w:kern w:val="44"/>
          <w:sz w:val="24"/>
          <w:szCs w:val="24"/>
          <w:lang w:eastAsia="zh-CN"/>
        </w:rPr>
        <w:t>：</w:t>
      </w:r>
      <w:r>
        <w:rPr>
          <w:rFonts w:hint="eastAsia" w:ascii="仿宋" w:hAnsi="仿宋" w:eastAsia="仿宋" w:cs="仿宋"/>
          <w:sz w:val="24"/>
          <w:szCs w:val="24"/>
        </w:rPr>
        <w:t>结构性存款可能因为投资标的监管备案延迟、交易相关系统异常、市场重大异常、投资标的交易异常等原因无法在预定日期完成相关投资或结算，从而导致观察日调整、投资者实际清算分配时间延迟、投资者实际收益与原比较基准产生偏离等情形，由此而产生的风险由投资者自行承担。青岛银行将尽合理努力控制调整及延迟范围，并将调整后的具体情况通过信息公告向投资人发布。</w:t>
      </w:r>
    </w:p>
    <w:p w14:paraId="7CFBD282">
      <w:pPr>
        <w:ind w:firstLine="482" w:firstLineChars="200"/>
        <w:jc w:val="both"/>
        <w:rPr>
          <w:rFonts w:hint="eastAsia" w:ascii="仿宋" w:hAnsi="仿宋" w:eastAsia="仿宋" w:cs="仿宋"/>
          <w:b/>
          <w:sz w:val="24"/>
          <w:szCs w:val="24"/>
        </w:rPr>
      </w:pPr>
      <w:r>
        <w:rPr>
          <w:rFonts w:hint="eastAsia" w:ascii="仿宋" w:hAnsi="仿宋" w:eastAsia="仿宋" w:cs="仿宋"/>
          <w:b/>
          <w:bCs w:val="0"/>
          <w:kern w:val="44"/>
          <w:sz w:val="24"/>
          <w:szCs w:val="24"/>
        </w:rPr>
        <w:t>15.估值风险</w:t>
      </w:r>
      <w:r>
        <w:rPr>
          <w:rFonts w:hint="eastAsia" w:ascii="仿宋" w:hAnsi="仿宋" w:eastAsia="仿宋" w:cs="仿宋"/>
          <w:b/>
          <w:bCs w:val="0"/>
          <w:kern w:val="44"/>
          <w:sz w:val="24"/>
          <w:szCs w:val="24"/>
          <w:lang w:eastAsia="zh-CN"/>
        </w:rPr>
        <w:t>：</w:t>
      </w:r>
      <w:r>
        <w:rPr>
          <w:rFonts w:hint="eastAsia" w:ascii="仿宋" w:hAnsi="仿宋" w:eastAsia="仿宋" w:cs="仿宋"/>
          <w:bCs/>
          <w:sz w:val="24"/>
          <w:szCs w:val="24"/>
        </w:rPr>
        <w:t>本产品按照《产品说明书》的估值方法进行估值，结构性存款估值与实际变现价值可能发生偏离，投资者应知晓该风险。估值结果仅作为参考，青岛银行不承担投资者以及任何第三方使用该估值引发的其他风险。</w:t>
      </w:r>
    </w:p>
    <w:p w14:paraId="03B52526">
      <w:pPr>
        <w:widowControl/>
        <w:shd w:val="clear" w:color="auto" w:fill="FFFFFF"/>
        <w:spacing w:line="360" w:lineRule="auto"/>
        <w:jc w:val="left"/>
        <w:rPr>
          <w:rFonts w:ascii="仿宋" w:hAnsi="仿宋" w:eastAsia="仿宋" w:cs="Segoe UI"/>
          <w:b/>
          <w:bCs/>
          <w:color w:val="000000"/>
          <w:kern w:val="0"/>
          <w:sz w:val="32"/>
          <w:szCs w:val="32"/>
        </w:rPr>
      </w:pPr>
    </w:p>
    <w:p w14:paraId="030D4EBF">
      <w:pPr>
        <w:widowControl/>
        <w:shd w:val="clear" w:color="auto" w:fill="FFFFFF"/>
        <w:spacing w:line="360" w:lineRule="auto"/>
        <w:jc w:val="left"/>
        <w:rPr>
          <w:rFonts w:ascii="仿宋" w:hAnsi="仿宋" w:eastAsia="仿宋" w:cs="宋体"/>
          <w:color w:val="333333"/>
          <w:kern w:val="0"/>
          <w:sz w:val="32"/>
          <w:szCs w:val="32"/>
        </w:rPr>
      </w:pPr>
      <w:r>
        <w:rPr>
          <w:rFonts w:hint="eastAsia" w:ascii="仿宋" w:hAnsi="仿宋" w:eastAsia="仿宋" w:cs="Segoe UI"/>
          <w:b/>
          <w:bCs/>
          <w:color w:val="000000"/>
          <w:kern w:val="0"/>
          <w:sz w:val="32"/>
          <w:szCs w:val="32"/>
        </w:rPr>
        <w:t>风险控制措施：</w:t>
      </w:r>
    </w:p>
    <w:p w14:paraId="72BCF7DD">
      <w:pPr>
        <w:widowControl/>
        <w:shd w:val="clear" w:color="auto" w:fill="FFFFFF"/>
        <w:spacing w:line="360" w:lineRule="auto"/>
        <w:ind w:firstLine="420"/>
        <w:jc w:val="left"/>
        <w:rPr>
          <w:rFonts w:ascii="仿宋" w:hAnsi="仿宋" w:eastAsia="仿宋" w:cs="宋体"/>
          <w:color w:val="333333"/>
          <w:kern w:val="0"/>
          <w:sz w:val="24"/>
          <w:szCs w:val="24"/>
        </w:rPr>
      </w:pPr>
      <w:r>
        <w:rPr>
          <w:rFonts w:hint="eastAsia" w:ascii="仿宋" w:hAnsi="仿宋" w:eastAsia="仿宋" w:cs="Segoe UI"/>
          <w:color w:val="000000"/>
          <w:kern w:val="0"/>
          <w:sz w:val="24"/>
          <w:szCs w:val="24"/>
        </w:rPr>
        <w:t>青岛银行针对结构性存款业务的风险特征，制定和实施相应的风险管理政策和程序，持续有效地识别、计量、监测和控制结构性存款业务面临的各类风险，并将结构性存款业务风险管理纳入全面风险管理体系。青岛银行将结构性存款纳入表内核算，按照存款管理，纳入存款准备金和存款保险保费的缴纳范围，相关资产按照国务院银行业监督管理机构的相关规定计提资本和拨备。</w:t>
      </w:r>
    </w:p>
    <w:p w14:paraId="2104001B">
      <w:pPr>
        <w:widowControl/>
        <w:shd w:val="clear" w:color="auto" w:fill="FFFFFF"/>
        <w:spacing w:line="360" w:lineRule="auto"/>
        <w:ind w:firstLine="420"/>
        <w:jc w:val="left"/>
        <w:rPr>
          <w:rFonts w:ascii="仿宋" w:hAnsi="仿宋" w:eastAsia="仿宋" w:cs="宋体"/>
          <w:color w:val="333333"/>
          <w:kern w:val="0"/>
          <w:sz w:val="24"/>
          <w:szCs w:val="24"/>
        </w:rPr>
      </w:pPr>
      <w:r>
        <w:rPr>
          <w:rFonts w:hint="eastAsia" w:ascii="仿宋" w:hAnsi="仿宋" w:eastAsia="仿宋" w:cs="Segoe UI"/>
          <w:color w:val="000000"/>
          <w:kern w:val="0"/>
          <w:sz w:val="24"/>
          <w:szCs w:val="24"/>
        </w:rPr>
        <w:t>青岛银行具备普通类衍生产品交易业务资格，结构性存款挂钩的衍生产品交易严格遵守《银行业金融机构衍生产品交易业务管理暂行办法》、《商业银行资本管理办法（试行）》、《商业银行杠杆率管理办法（修订）》、《商业银行流动性风险管理办法》等国务院银行业监督管理机构关于衍生产品交易的相关规定。</w:t>
      </w:r>
      <w:r>
        <w:rPr>
          <w:rFonts w:eastAsia="仿宋" w:cs="Calibri"/>
          <w:color w:val="333333"/>
          <w:kern w:val="0"/>
          <w:sz w:val="24"/>
          <w:szCs w:val="24"/>
        </w:rPr>
        <w:t> </w:t>
      </w:r>
    </w:p>
    <w:p w14:paraId="65FA6AE4">
      <w:pPr>
        <w:widowControl/>
        <w:shd w:val="clear" w:color="auto" w:fill="FFFFFF"/>
        <w:spacing w:line="360" w:lineRule="auto"/>
        <w:ind w:firstLine="420"/>
        <w:jc w:val="left"/>
        <w:rPr>
          <w:rFonts w:ascii="仿宋" w:hAnsi="仿宋" w:eastAsia="仿宋" w:cs="宋体"/>
          <w:color w:val="333333"/>
          <w:kern w:val="0"/>
          <w:szCs w:val="21"/>
        </w:rPr>
      </w:pPr>
      <w:r>
        <w:rPr>
          <w:rFonts w:hint="eastAsia" w:ascii="仿宋" w:hAnsi="仿宋" w:eastAsia="仿宋" w:cs="Segoe UI"/>
          <w:color w:val="000000"/>
          <w:kern w:val="0"/>
          <w:sz w:val="24"/>
          <w:szCs w:val="24"/>
        </w:rPr>
        <w:t>青岛银行销售结构性存款，中国银保监会发布的《关于进一步规范商业银行结构性存款业务的通知》（银保监办发〔2019〕204号）相关规定执行，充分揭示风险，实施专区销售和录音录像。销售文本全面、客观反映结构性存款的重要特性和与产品有关的重要事实，向投资者充分揭示风险，确保投资者了解结构性存款的产品性质和潜在风险，自主进行投资决策。并按约定在青岛银行官网向投资者披露产品销售文件、发行报告、产品账单、到期报告、重大事项报告、临时性信息披露等内容及国务院银行业监督管理机构规定的其他信息。</w:t>
      </w:r>
    </w:p>
    <w:p w14:paraId="0C6B82F6">
      <w:pPr>
        <w:spacing w:line="360" w:lineRule="auto"/>
        <w:jc w:val="center"/>
        <w:rPr>
          <w:rFonts w:ascii="仿宋" w:hAnsi="仿宋" w:eastAsia="仿宋"/>
          <w:b/>
          <w:sz w:val="28"/>
          <w:szCs w:val="28"/>
        </w:rPr>
      </w:pPr>
    </w:p>
    <w:sectPr>
      <w:headerReference r:id="rId3" w:type="default"/>
      <w:footerReference r:id="rId5" w:type="default"/>
      <w:head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AAF12">
    <w:pPr>
      <w:pStyle w:val="4"/>
      <w:jc w:val="center"/>
    </w:pPr>
    <w:r>
      <w:rPr>
        <w:b/>
        <w:bCs/>
        <w:sz w:val="24"/>
        <w:szCs w:val="24"/>
      </w:rPr>
      <w:fldChar w:fldCharType="begin"/>
    </w:r>
    <w:r>
      <w:rPr>
        <w:b/>
        <w:bCs/>
      </w:rPr>
      <w:instrText xml:space="preserve">PAGE</w:instrText>
    </w:r>
    <w:r>
      <w:rPr>
        <w:b/>
        <w:bCs/>
        <w:sz w:val="24"/>
        <w:szCs w:val="24"/>
      </w:rPr>
      <w:fldChar w:fldCharType="separate"/>
    </w:r>
    <w:r>
      <w:rPr>
        <w:b/>
        <w:bCs/>
      </w:rPr>
      <w:t>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p>
  <w:p w14:paraId="0D702A0D">
    <w:pPr>
      <w:pStyle w:val="4"/>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37C90">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71B73">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JlODQ5NjliMTBhODYwMjlhNGRiZjQzMTAwNTkyYWIifQ=="/>
  </w:docVars>
  <w:rsids>
    <w:rsidRoot w:val="0018467E"/>
    <w:rsid w:val="00003DDD"/>
    <w:rsid w:val="000063B3"/>
    <w:rsid w:val="00010754"/>
    <w:rsid w:val="00012CDB"/>
    <w:rsid w:val="00014FFD"/>
    <w:rsid w:val="00016D34"/>
    <w:rsid w:val="00016FB8"/>
    <w:rsid w:val="00022730"/>
    <w:rsid w:val="00034F61"/>
    <w:rsid w:val="000400FF"/>
    <w:rsid w:val="0004184F"/>
    <w:rsid w:val="00043BA9"/>
    <w:rsid w:val="00052184"/>
    <w:rsid w:val="00062FCA"/>
    <w:rsid w:val="00066932"/>
    <w:rsid w:val="0006730D"/>
    <w:rsid w:val="0007381C"/>
    <w:rsid w:val="0007594F"/>
    <w:rsid w:val="000805A7"/>
    <w:rsid w:val="0008122D"/>
    <w:rsid w:val="00081341"/>
    <w:rsid w:val="000843DA"/>
    <w:rsid w:val="00085B95"/>
    <w:rsid w:val="00090DDE"/>
    <w:rsid w:val="0009330C"/>
    <w:rsid w:val="00094432"/>
    <w:rsid w:val="000A2496"/>
    <w:rsid w:val="000A2C41"/>
    <w:rsid w:val="000A5739"/>
    <w:rsid w:val="000A783F"/>
    <w:rsid w:val="000A7AEA"/>
    <w:rsid w:val="000B4990"/>
    <w:rsid w:val="000B5D8C"/>
    <w:rsid w:val="000B7757"/>
    <w:rsid w:val="000C4DA6"/>
    <w:rsid w:val="000C7EEB"/>
    <w:rsid w:val="000D3C2A"/>
    <w:rsid w:val="000E738B"/>
    <w:rsid w:val="000F5C30"/>
    <w:rsid w:val="000F7CB3"/>
    <w:rsid w:val="001065E2"/>
    <w:rsid w:val="001068AB"/>
    <w:rsid w:val="001207A0"/>
    <w:rsid w:val="00123091"/>
    <w:rsid w:val="00123367"/>
    <w:rsid w:val="00142994"/>
    <w:rsid w:val="00142FC8"/>
    <w:rsid w:val="001457AA"/>
    <w:rsid w:val="00152624"/>
    <w:rsid w:val="00153734"/>
    <w:rsid w:val="00155498"/>
    <w:rsid w:val="001560E8"/>
    <w:rsid w:val="00156F72"/>
    <w:rsid w:val="00157BA3"/>
    <w:rsid w:val="001654B1"/>
    <w:rsid w:val="00167466"/>
    <w:rsid w:val="00167869"/>
    <w:rsid w:val="0017232B"/>
    <w:rsid w:val="00173364"/>
    <w:rsid w:val="00176929"/>
    <w:rsid w:val="00181275"/>
    <w:rsid w:val="00182ECD"/>
    <w:rsid w:val="0018467E"/>
    <w:rsid w:val="001868FE"/>
    <w:rsid w:val="00190E01"/>
    <w:rsid w:val="00194CA8"/>
    <w:rsid w:val="001951A4"/>
    <w:rsid w:val="001959B0"/>
    <w:rsid w:val="00197EA1"/>
    <w:rsid w:val="001A0DBA"/>
    <w:rsid w:val="001A3E7D"/>
    <w:rsid w:val="001A4A1B"/>
    <w:rsid w:val="001B0D09"/>
    <w:rsid w:val="001B202E"/>
    <w:rsid w:val="001B3D3A"/>
    <w:rsid w:val="001C062A"/>
    <w:rsid w:val="001C08CD"/>
    <w:rsid w:val="001C5E8B"/>
    <w:rsid w:val="001C7662"/>
    <w:rsid w:val="001D0579"/>
    <w:rsid w:val="001D0AE3"/>
    <w:rsid w:val="001D2503"/>
    <w:rsid w:val="001D3C72"/>
    <w:rsid w:val="001D4474"/>
    <w:rsid w:val="001D51EB"/>
    <w:rsid w:val="001E2C69"/>
    <w:rsid w:val="001E7718"/>
    <w:rsid w:val="001F126B"/>
    <w:rsid w:val="001F16A1"/>
    <w:rsid w:val="001F5CC0"/>
    <w:rsid w:val="001F7A46"/>
    <w:rsid w:val="0020497D"/>
    <w:rsid w:val="0021180D"/>
    <w:rsid w:val="00214483"/>
    <w:rsid w:val="00214805"/>
    <w:rsid w:val="002233FF"/>
    <w:rsid w:val="002254BA"/>
    <w:rsid w:val="002346DD"/>
    <w:rsid w:val="00237F4E"/>
    <w:rsid w:val="00242C64"/>
    <w:rsid w:val="002532E3"/>
    <w:rsid w:val="00255446"/>
    <w:rsid w:val="00256B06"/>
    <w:rsid w:val="00264645"/>
    <w:rsid w:val="00264B99"/>
    <w:rsid w:val="00274BD1"/>
    <w:rsid w:val="00280700"/>
    <w:rsid w:val="00282651"/>
    <w:rsid w:val="002827CC"/>
    <w:rsid w:val="00287002"/>
    <w:rsid w:val="0029447D"/>
    <w:rsid w:val="00295F11"/>
    <w:rsid w:val="0029793A"/>
    <w:rsid w:val="002A4385"/>
    <w:rsid w:val="002A64BC"/>
    <w:rsid w:val="002A6571"/>
    <w:rsid w:val="002B4950"/>
    <w:rsid w:val="002B64AA"/>
    <w:rsid w:val="002C0F1C"/>
    <w:rsid w:val="002C12FE"/>
    <w:rsid w:val="002C130D"/>
    <w:rsid w:val="002D1524"/>
    <w:rsid w:val="002D1BF3"/>
    <w:rsid w:val="002D3DC4"/>
    <w:rsid w:val="002E1846"/>
    <w:rsid w:val="002E1B7E"/>
    <w:rsid w:val="002E3713"/>
    <w:rsid w:val="002F1E1D"/>
    <w:rsid w:val="002F227B"/>
    <w:rsid w:val="00300528"/>
    <w:rsid w:val="00303EF3"/>
    <w:rsid w:val="00306A8D"/>
    <w:rsid w:val="00312417"/>
    <w:rsid w:val="003160FC"/>
    <w:rsid w:val="00333F7B"/>
    <w:rsid w:val="00334CE0"/>
    <w:rsid w:val="00336703"/>
    <w:rsid w:val="00337C80"/>
    <w:rsid w:val="00340A83"/>
    <w:rsid w:val="003469DC"/>
    <w:rsid w:val="003501FC"/>
    <w:rsid w:val="00352D9B"/>
    <w:rsid w:val="00364067"/>
    <w:rsid w:val="003723CC"/>
    <w:rsid w:val="0037536E"/>
    <w:rsid w:val="00380544"/>
    <w:rsid w:val="00381F3D"/>
    <w:rsid w:val="0038609F"/>
    <w:rsid w:val="0039271A"/>
    <w:rsid w:val="00396B68"/>
    <w:rsid w:val="003A41B4"/>
    <w:rsid w:val="003A48B3"/>
    <w:rsid w:val="003A669F"/>
    <w:rsid w:val="003B1834"/>
    <w:rsid w:val="003B328A"/>
    <w:rsid w:val="003B6AEE"/>
    <w:rsid w:val="003C0C4D"/>
    <w:rsid w:val="003C1D55"/>
    <w:rsid w:val="003D05B5"/>
    <w:rsid w:val="003D1A99"/>
    <w:rsid w:val="003D45CE"/>
    <w:rsid w:val="003E1191"/>
    <w:rsid w:val="003E1DF5"/>
    <w:rsid w:val="003E7448"/>
    <w:rsid w:val="003F015A"/>
    <w:rsid w:val="003F1167"/>
    <w:rsid w:val="003F66D2"/>
    <w:rsid w:val="004018C7"/>
    <w:rsid w:val="00410584"/>
    <w:rsid w:val="0041065A"/>
    <w:rsid w:val="0042316F"/>
    <w:rsid w:val="0042609E"/>
    <w:rsid w:val="00432288"/>
    <w:rsid w:val="004358C4"/>
    <w:rsid w:val="00437787"/>
    <w:rsid w:val="00442F72"/>
    <w:rsid w:val="00450606"/>
    <w:rsid w:val="00453026"/>
    <w:rsid w:val="004576C6"/>
    <w:rsid w:val="0046137F"/>
    <w:rsid w:val="0046344E"/>
    <w:rsid w:val="00464BBB"/>
    <w:rsid w:val="00466FB4"/>
    <w:rsid w:val="00467DE4"/>
    <w:rsid w:val="004700C8"/>
    <w:rsid w:val="00470462"/>
    <w:rsid w:val="00471B1A"/>
    <w:rsid w:val="004755B4"/>
    <w:rsid w:val="00480862"/>
    <w:rsid w:val="00480E96"/>
    <w:rsid w:val="00481628"/>
    <w:rsid w:val="00491FF9"/>
    <w:rsid w:val="0049333D"/>
    <w:rsid w:val="00494836"/>
    <w:rsid w:val="00495D2E"/>
    <w:rsid w:val="00497B5C"/>
    <w:rsid w:val="00497BAD"/>
    <w:rsid w:val="00497F54"/>
    <w:rsid w:val="004A03CE"/>
    <w:rsid w:val="004A366B"/>
    <w:rsid w:val="004A3C2E"/>
    <w:rsid w:val="004A758F"/>
    <w:rsid w:val="004B0085"/>
    <w:rsid w:val="004B3E93"/>
    <w:rsid w:val="004B5B5F"/>
    <w:rsid w:val="004B7522"/>
    <w:rsid w:val="004C3ADF"/>
    <w:rsid w:val="004C618B"/>
    <w:rsid w:val="004C64AE"/>
    <w:rsid w:val="004D0AB4"/>
    <w:rsid w:val="004D1721"/>
    <w:rsid w:val="004D628E"/>
    <w:rsid w:val="004D7038"/>
    <w:rsid w:val="004E5178"/>
    <w:rsid w:val="004E6362"/>
    <w:rsid w:val="004F2466"/>
    <w:rsid w:val="004F321D"/>
    <w:rsid w:val="004F4995"/>
    <w:rsid w:val="004F4ABF"/>
    <w:rsid w:val="004F56EC"/>
    <w:rsid w:val="004F5E4B"/>
    <w:rsid w:val="004F7915"/>
    <w:rsid w:val="0050156C"/>
    <w:rsid w:val="00502DF1"/>
    <w:rsid w:val="00505689"/>
    <w:rsid w:val="00513DB6"/>
    <w:rsid w:val="005169AA"/>
    <w:rsid w:val="00522626"/>
    <w:rsid w:val="00523FDF"/>
    <w:rsid w:val="005318CD"/>
    <w:rsid w:val="005336D2"/>
    <w:rsid w:val="005350BE"/>
    <w:rsid w:val="0053606D"/>
    <w:rsid w:val="0054248F"/>
    <w:rsid w:val="005439F5"/>
    <w:rsid w:val="00544FD8"/>
    <w:rsid w:val="00555CA4"/>
    <w:rsid w:val="00557F93"/>
    <w:rsid w:val="00563421"/>
    <w:rsid w:val="00564FF7"/>
    <w:rsid w:val="00575825"/>
    <w:rsid w:val="005777C9"/>
    <w:rsid w:val="0058200B"/>
    <w:rsid w:val="00584BA9"/>
    <w:rsid w:val="00587462"/>
    <w:rsid w:val="00590E5A"/>
    <w:rsid w:val="00596093"/>
    <w:rsid w:val="00596C11"/>
    <w:rsid w:val="005A1ED8"/>
    <w:rsid w:val="005A4069"/>
    <w:rsid w:val="005A5654"/>
    <w:rsid w:val="005A7A4F"/>
    <w:rsid w:val="005C0755"/>
    <w:rsid w:val="005D2F84"/>
    <w:rsid w:val="005D4C7E"/>
    <w:rsid w:val="005E3A78"/>
    <w:rsid w:val="005F2BB4"/>
    <w:rsid w:val="005F5495"/>
    <w:rsid w:val="006050F3"/>
    <w:rsid w:val="006116C6"/>
    <w:rsid w:val="006120A9"/>
    <w:rsid w:val="00613A48"/>
    <w:rsid w:val="00613B36"/>
    <w:rsid w:val="00614F16"/>
    <w:rsid w:val="00627125"/>
    <w:rsid w:val="00630AA6"/>
    <w:rsid w:val="00634EB4"/>
    <w:rsid w:val="006354DA"/>
    <w:rsid w:val="0064133F"/>
    <w:rsid w:val="00641DAB"/>
    <w:rsid w:val="00642484"/>
    <w:rsid w:val="006425CF"/>
    <w:rsid w:val="006463AC"/>
    <w:rsid w:val="0065081E"/>
    <w:rsid w:val="006509D4"/>
    <w:rsid w:val="00654501"/>
    <w:rsid w:val="006620CB"/>
    <w:rsid w:val="006638D7"/>
    <w:rsid w:val="00674C42"/>
    <w:rsid w:val="00677295"/>
    <w:rsid w:val="00677D19"/>
    <w:rsid w:val="00681AD2"/>
    <w:rsid w:val="00686FC7"/>
    <w:rsid w:val="006906B2"/>
    <w:rsid w:val="00690B7E"/>
    <w:rsid w:val="00693D42"/>
    <w:rsid w:val="006A06E8"/>
    <w:rsid w:val="006B1097"/>
    <w:rsid w:val="006B3DA4"/>
    <w:rsid w:val="006B4BAA"/>
    <w:rsid w:val="006C61D3"/>
    <w:rsid w:val="006D13F5"/>
    <w:rsid w:val="006D504A"/>
    <w:rsid w:val="006D60D3"/>
    <w:rsid w:val="006D7CAF"/>
    <w:rsid w:val="006E0341"/>
    <w:rsid w:val="006E6B7F"/>
    <w:rsid w:val="006F24F1"/>
    <w:rsid w:val="006F3C5D"/>
    <w:rsid w:val="006F5A39"/>
    <w:rsid w:val="006F7BFC"/>
    <w:rsid w:val="007000AC"/>
    <w:rsid w:val="00701BCA"/>
    <w:rsid w:val="007046FE"/>
    <w:rsid w:val="00711733"/>
    <w:rsid w:val="007169AD"/>
    <w:rsid w:val="00717819"/>
    <w:rsid w:val="007204BD"/>
    <w:rsid w:val="00720FA0"/>
    <w:rsid w:val="00722950"/>
    <w:rsid w:val="00723521"/>
    <w:rsid w:val="00730D87"/>
    <w:rsid w:val="00742D2F"/>
    <w:rsid w:val="0074485D"/>
    <w:rsid w:val="007448F8"/>
    <w:rsid w:val="00745A63"/>
    <w:rsid w:val="00753DE4"/>
    <w:rsid w:val="00757361"/>
    <w:rsid w:val="00760A76"/>
    <w:rsid w:val="007621CC"/>
    <w:rsid w:val="0076376C"/>
    <w:rsid w:val="00773CA2"/>
    <w:rsid w:val="00774B58"/>
    <w:rsid w:val="00783911"/>
    <w:rsid w:val="007852AD"/>
    <w:rsid w:val="00785965"/>
    <w:rsid w:val="00791F65"/>
    <w:rsid w:val="00793293"/>
    <w:rsid w:val="00793980"/>
    <w:rsid w:val="007946A2"/>
    <w:rsid w:val="00796CC1"/>
    <w:rsid w:val="00797DA2"/>
    <w:rsid w:val="007A00FA"/>
    <w:rsid w:val="007A2E50"/>
    <w:rsid w:val="007A4C33"/>
    <w:rsid w:val="007B0A61"/>
    <w:rsid w:val="007B5DBA"/>
    <w:rsid w:val="007B6C53"/>
    <w:rsid w:val="007B716F"/>
    <w:rsid w:val="007B74CE"/>
    <w:rsid w:val="007C074B"/>
    <w:rsid w:val="007D3630"/>
    <w:rsid w:val="007D5612"/>
    <w:rsid w:val="007E23B0"/>
    <w:rsid w:val="007F499A"/>
    <w:rsid w:val="007F552E"/>
    <w:rsid w:val="00800320"/>
    <w:rsid w:val="00801594"/>
    <w:rsid w:val="00801E8B"/>
    <w:rsid w:val="00810344"/>
    <w:rsid w:val="00810A4B"/>
    <w:rsid w:val="00812316"/>
    <w:rsid w:val="008137C3"/>
    <w:rsid w:val="00820BA5"/>
    <w:rsid w:val="0082675C"/>
    <w:rsid w:val="00826DE3"/>
    <w:rsid w:val="008271C9"/>
    <w:rsid w:val="0084388C"/>
    <w:rsid w:val="00844375"/>
    <w:rsid w:val="008500D0"/>
    <w:rsid w:val="00850F0E"/>
    <w:rsid w:val="00856C2F"/>
    <w:rsid w:val="008663F9"/>
    <w:rsid w:val="00870574"/>
    <w:rsid w:val="008705F7"/>
    <w:rsid w:val="00871AE4"/>
    <w:rsid w:val="00890D75"/>
    <w:rsid w:val="00891476"/>
    <w:rsid w:val="00894DEA"/>
    <w:rsid w:val="00894E81"/>
    <w:rsid w:val="008A37A7"/>
    <w:rsid w:val="008A4C30"/>
    <w:rsid w:val="008A518F"/>
    <w:rsid w:val="008B101A"/>
    <w:rsid w:val="008B669E"/>
    <w:rsid w:val="008C3127"/>
    <w:rsid w:val="008C6E87"/>
    <w:rsid w:val="008D21AE"/>
    <w:rsid w:val="008D3423"/>
    <w:rsid w:val="008D3480"/>
    <w:rsid w:val="008E0CA3"/>
    <w:rsid w:val="008E3465"/>
    <w:rsid w:val="008E6B6F"/>
    <w:rsid w:val="008F2D90"/>
    <w:rsid w:val="008F30A0"/>
    <w:rsid w:val="00902975"/>
    <w:rsid w:val="00902C2F"/>
    <w:rsid w:val="00905EA0"/>
    <w:rsid w:val="00907F98"/>
    <w:rsid w:val="00910A6E"/>
    <w:rsid w:val="00914EDB"/>
    <w:rsid w:val="00915469"/>
    <w:rsid w:val="009205E5"/>
    <w:rsid w:val="0092347D"/>
    <w:rsid w:val="00926AC5"/>
    <w:rsid w:val="00931242"/>
    <w:rsid w:val="0093186D"/>
    <w:rsid w:val="00931C3D"/>
    <w:rsid w:val="00934259"/>
    <w:rsid w:val="009358CF"/>
    <w:rsid w:val="00936D22"/>
    <w:rsid w:val="00936E96"/>
    <w:rsid w:val="00937CAD"/>
    <w:rsid w:val="00943FE3"/>
    <w:rsid w:val="0094562F"/>
    <w:rsid w:val="00947980"/>
    <w:rsid w:val="0096276D"/>
    <w:rsid w:val="009712F9"/>
    <w:rsid w:val="00971616"/>
    <w:rsid w:val="0098380E"/>
    <w:rsid w:val="0099099B"/>
    <w:rsid w:val="009919DC"/>
    <w:rsid w:val="00994739"/>
    <w:rsid w:val="009A15D3"/>
    <w:rsid w:val="009A6A7A"/>
    <w:rsid w:val="009B4E10"/>
    <w:rsid w:val="009B750D"/>
    <w:rsid w:val="009C2BD7"/>
    <w:rsid w:val="009C4AB4"/>
    <w:rsid w:val="009C68AC"/>
    <w:rsid w:val="009E2161"/>
    <w:rsid w:val="009E415B"/>
    <w:rsid w:val="009F21CA"/>
    <w:rsid w:val="009F59FF"/>
    <w:rsid w:val="009F7721"/>
    <w:rsid w:val="00A00016"/>
    <w:rsid w:val="00A00643"/>
    <w:rsid w:val="00A04651"/>
    <w:rsid w:val="00A054B6"/>
    <w:rsid w:val="00A15FD1"/>
    <w:rsid w:val="00A20AFE"/>
    <w:rsid w:val="00A20CCE"/>
    <w:rsid w:val="00A24FEC"/>
    <w:rsid w:val="00A25842"/>
    <w:rsid w:val="00A260BE"/>
    <w:rsid w:val="00A30895"/>
    <w:rsid w:val="00A3578A"/>
    <w:rsid w:val="00A35BA3"/>
    <w:rsid w:val="00A3603B"/>
    <w:rsid w:val="00A45D8B"/>
    <w:rsid w:val="00A55973"/>
    <w:rsid w:val="00A55F45"/>
    <w:rsid w:val="00A61FFD"/>
    <w:rsid w:val="00A64682"/>
    <w:rsid w:val="00A66427"/>
    <w:rsid w:val="00A66F66"/>
    <w:rsid w:val="00A6774F"/>
    <w:rsid w:val="00A71952"/>
    <w:rsid w:val="00A72B3A"/>
    <w:rsid w:val="00A73337"/>
    <w:rsid w:val="00A740BC"/>
    <w:rsid w:val="00A74FE1"/>
    <w:rsid w:val="00A775BF"/>
    <w:rsid w:val="00A814A1"/>
    <w:rsid w:val="00A82259"/>
    <w:rsid w:val="00A845CE"/>
    <w:rsid w:val="00A86F09"/>
    <w:rsid w:val="00A8734C"/>
    <w:rsid w:val="00A90DCA"/>
    <w:rsid w:val="00A91E8A"/>
    <w:rsid w:val="00A93F2A"/>
    <w:rsid w:val="00AA5D85"/>
    <w:rsid w:val="00AB3FD6"/>
    <w:rsid w:val="00AB4ECD"/>
    <w:rsid w:val="00AB5A24"/>
    <w:rsid w:val="00AB7CA8"/>
    <w:rsid w:val="00AC3199"/>
    <w:rsid w:val="00AC3816"/>
    <w:rsid w:val="00AC6C13"/>
    <w:rsid w:val="00AD14F8"/>
    <w:rsid w:val="00AD5D82"/>
    <w:rsid w:val="00AD71EC"/>
    <w:rsid w:val="00AE2013"/>
    <w:rsid w:val="00AE6134"/>
    <w:rsid w:val="00AF1E79"/>
    <w:rsid w:val="00AF4865"/>
    <w:rsid w:val="00AF6BB1"/>
    <w:rsid w:val="00B008D4"/>
    <w:rsid w:val="00B00FC6"/>
    <w:rsid w:val="00B022C7"/>
    <w:rsid w:val="00B041BE"/>
    <w:rsid w:val="00B058C6"/>
    <w:rsid w:val="00B07C8B"/>
    <w:rsid w:val="00B1272F"/>
    <w:rsid w:val="00B14953"/>
    <w:rsid w:val="00B14BF9"/>
    <w:rsid w:val="00B17465"/>
    <w:rsid w:val="00B239BE"/>
    <w:rsid w:val="00B248F6"/>
    <w:rsid w:val="00B273A2"/>
    <w:rsid w:val="00B30964"/>
    <w:rsid w:val="00B32650"/>
    <w:rsid w:val="00B32767"/>
    <w:rsid w:val="00B327A5"/>
    <w:rsid w:val="00B363FD"/>
    <w:rsid w:val="00B55FA8"/>
    <w:rsid w:val="00B56460"/>
    <w:rsid w:val="00B61478"/>
    <w:rsid w:val="00B65931"/>
    <w:rsid w:val="00B67981"/>
    <w:rsid w:val="00B679A9"/>
    <w:rsid w:val="00B70FE6"/>
    <w:rsid w:val="00B71C36"/>
    <w:rsid w:val="00B82705"/>
    <w:rsid w:val="00B84D7C"/>
    <w:rsid w:val="00B85D03"/>
    <w:rsid w:val="00B925AE"/>
    <w:rsid w:val="00B92D49"/>
    <w:rsid w:val="00B93349"/>
    <w:rsid w:val="00B94C6F"/>
    <w:rsid w:val="00BA61E5"/>
    <w:rsid w:val="00BB351D"/>
    <w:rsid w:val="00BB47BE"/>
    <w:rsid w:val="00BB4BD9"/>
    <w:rsid w:val="00BB69EF"/>
    <w:rsid w:val="00BB78C1"/>
    <w:rsid w:val="00BC2A9A"/>
    <w:rsid w:val="00BC3FE5"/>
    <w:rsid w:val="00BC417F"/>
    <w:rsid w:val="00BC41CD"/>
    <w:rsid w:val="00BD270A"/>
    <w:rsid w:val="00BD501C"/>
    <w:rsid w:val="00BD7D20"/>
    <w:rsid w:val="00BE21AE"/>
    <w:rsid w:val="00BE2781"/>
    <w:rsid w:val="00BE2CE2"/>
    <w:rsid w:val="00BE54E5"/>
    <w:rsid w:val="00BF7F2F"/>
    <w:rsid w:val="00C01B4A"/>
    <w:rsid w:val="00C1082B"/>
    <w:rsid w:val="00C14D2D"/>
    <w:rsid w:val="00C163A9"/>
    <w:rsid w:val="00C178DC"/>
    <w:rsid w:val="00C223C0"/>
    <w:rsid w:val="00C2414B"/>
    <w:rsid w:val="00C276DD"/>
    <w:rsid w:val="00C27BBE"/>
    <w:rsid w:val="00C428FE"/>
    <w:rsid w:val="00C4367A"/>
    <w:rsid w:val="00C47BCC"/>
    <w:rsid w:val="00C52FFA"/>
    <w:rsid w:val="00C54961"/>
    <w:rsid w:val="00C56B14"/>
    <w:rsid w:val="00C61A91"/>
    <w:rsid w:val="00C65087"/>
    <w:rsid w:val="00C75F43"/>
    <w:rsid w:val="00C762BD"/>
    <w:rsid w:val="00C76FCD"/>
    <w:rsid w:val="00C77040"/>
    <w:rsid w:val="00C853F6"/>
    <w:rsid w:val="00C9600C"/>
    <w:rsid w:val="00C96343"/>
    <w:rsid w:val="00C97001"/>
    <w:rsid w:val="00C97F58"/>
    <w:rsid w:val="00CA3196"/>
    <w:rsid w:val="00CA7A17"/>
    <w:rsid w:val="00CB190C"/>
    <w:rsid w:val="00CB3B94"/>
    <w:rsid w:val="00CB3E63"/>
    <w:rsid w:val="00CC3320"/>
    <w:rsid w:val="00CC3CDC"/>
    <w:rsid w:val="00CC4DFE"/>
    <w:rsid w:val="00CC5759"/>
    <w:rsid w:val="00CC6525"/>
    <w:rsid w:val="00CD414C"/>
    <w:rsid w:val="00CD726A"/>
    <w:rsid w:val="00CD7827"/>
    <w:rsid w:val="00CE0375"/>
    <w:rsid w:val="00CE2248"/>
    <w:rsid w:val="00CE35E7"/>
    <w:rsid w:val="00CE5ECD"/>
    <w:rsid w:val="00CF01AA"/>
    <w:rsid w:val="00CF094B"/>
    <w:rsid w:val="00CF368F"/>
    <w:rsid w:val="00CF39C0"/>
    <w:rsid w:val="00CF3BBC"/>
    <w:rsid w:val="00CF4AF9"/>
    <w:rsid w:val="00CF5ACB"/>
    <w:rsid w:val="00CF707C"/>
    <w:rsid w:val="00D00C70"/>
    <w:rsid w:val="00D06C6A"/>
    <w:rsid w:val="00D130D5"/>
    <w:rsid w:val="00D136F8"/>
    <w:rsid w:val="00D23AC7"/>
    <w:rsid w:val="00D249E5"/>
    <w:rsid w:val="00D24E7A"/>
    <w:rsid w:val="00D30120"/>
    <w:rsid w:val="00D30D21"/>
    <w:rsid w:val="00D35F4E"/>
    <w:rsid w:val="00D407DA"/>
    <w:rsid w:val="00D50E28"/>
    <w:rsid w:val="00D52F26"/>
    <w:rsid w:val="00D572C7"/>
    <w:rsid w:val="00D61ED3"/>
    <w:rsid w:val="00D65500"/>
    <w:rsid w:val="00D71264"/>
    <w:rsid w:val="00D72B23"/>
    <w:rsid w:val="00D7639F"/>
    <w:rsid w:val="00D77E6A"/>
    <w:rsid w:val="00D805D8"/>
    <w:rsid w:val="00D85532"/>
    <w:rsid w:val="00D85F44"/>
    <w:rsid w:val="00D90AA3"/>
    <w:rsid w:val="00D91271"/>
    <w:rsid w:val="00D9285A"/>
    <w:rsid w:val="00D9550B"/>
    <w:rsid w:val="00D96887"/>
    <w:rsid w:val="00DB3B93"/>
    <w:rsid w:val="00DB4162"/>
    <w:rsid w:val="00DB4FC3"/>
    <w:rsid w:val="00DB54D3"/>
    <w:rsid w:val="00DB5C9C"/>
    <w:rsid w:val="00DC12D5"/>
    <w:rsid w:val="00DC214F"/>
    <w:rsid w:val="00DC4544"/>
    <w:rsid w:val="00DD30C0"/>
    <w:rsid w:val="00DD50A8"/>
    <w:rsid w:val="00DE411E"/>
    <w:rsid w:val="00DE43AE"/>
    <w:rsid w:val="00DE7599"/>
    <w:rsid w:val="00DF2B6C"/>
    <w:rsid w:val="00DF321A"/>
    <w:rsid w:val="00DF3CDE"/>
    <w:rsid w:val="00DF5DAE"/>
    <w:rsid w:val="00E028F0"/>
    <w:rsid w:val="00E02D91"/>
    <w:rsid w:val="00E06093"/>
    <w:rsid w:val="00E06C5F"/>
    <w:rsid w:val="00E13B43"/>
    <w:rsid w:val="00E2495C"/>
    <w:rsid w:val="00E25180"/>
    <w:rsid w:val="00E264A5"/>
    <w:rsid w:val="00E265E9"/>
    <w:rsid w:val="00E33B63"/>
    <w:rsid w:val="00E35442"/>
    <w:rsid w:val="00E37DE3"/>
    <w:rsid w:val="00E40960"/>
    <w:rsid w:val="00E45141"/>
    <w:rsid w:val="00E467A3"/>
    <w:rsid w:val="00E47225"/>
    <w:rsid w:val="00E47662"/>
    <w:rsid w:val="00E50415"/>
    <w:rsid w:val="00E515F9"/>
    <w:rsid w:val="00E53100"/>
    <w:rsid w:val="00E565B9"/>
    <w:rsid w:val="00E57E4D"/>
    <w:rsid w:val="00E602E7"/>
    <w:rsid w:val="00E62177"/>
    <w:rsid w:val="00E64835"/>
    <w:rsid w:val="00E6768F"/>
    <w:rsid w:val="00E70C1D"/>
    <w:rsid w:val="00E71606"/>
    <w:rsid w:val="00E7514F"/>
    <w:rsid w:val="00E752E2"/>
    <w:rsid w:val="00E77711"/>
    <w:rsid w:val="00E813B3"/>
    <w:rsid w:val="00E8484C"/>
    <w:rsid w:val="00E84E96"/>
    <w:rsid w:val="00E86491"/>
    <w:rsid w:val="00E87D85"/>
    <w:rsid w:val="00E90DA0"/>
    <w:rsid w:val="00EA1F15"/>
    <w:rsid w:val="00EA3375"/>
    <w:rsid w:val="00EA70AB"/>
    <w:rsid w:val="00EB0C71"/>
    <w:rsid w:val="00EB0CE7"/>
    <w:rsid w:val="00EB2201"/>
    <w:rsid w:val="00EB3B69"/>
    <w:rsid w:val="00EC2106"/>
    <w:rsid w:val="00EC4371"/>
    <w:rsid w:val="00EC5984"/>
    <w:rsid w:val="00EC6FD1"/>
    <w:rsid w:val="00ED0F71"/>
    <w:rsid w:val="00ED46F6"/>
    <w:rsid w:val="00EE043D"/>
    <w:rsid w:val="00EE5A97"/>
    <w:rsid w:val="00EF4F67"/>
    <w:rsid w:val="00EF6ADB"/>
    <w:rsid w:val="00EF7A9F"/>
    <w:rsid w:val="00F00BEB"/>
    <w:rsid w:val="00F06522"/>
    <w:rsid w:val="00F111B8"/>
    <w:rsid w:val="00F11878"/>
    <w:rsid w:val="00F2421A"/>
    <w:rsid w:val="00F243D0"/>
    <w:rsid w:val="00F264E3"/>
    <w:rsid w:val="00F3006D"/>
    <w:rsid w:val="00F3019F"/>
    <w:rsid w:val="00F36901"/>
    <w:rsid w:val="00F41542"/>
    <w:rsid w:val="00F42317"/>
    <w:rsid w:val="00F43884"/>
    <w:rsid w:val="00F4675D"/>
    <w:rsid w:val="00F47940"/>
    <w:rsid w:val="00F508CD"/>
    <w:rsid w:val="00F52EC1"/>
    <w:rsid w:val="00F55544"/>
    <w:rsid w:val="00F57833"/>
    <w:rsid w:val="00F60195"/>
    <w:rsid w:val="00F6346A"/>
    <w:rsid w:val="00F63777"/>
    <w:rsid w:val="00F666EA"/>
    <w:rsid w:val="00F669F0"/>
    <w:rsid w:val="00F72928"/>
    <w:rsid w:val="00F762FE"/>
    <w:rsid w:val="00F90741"/>
    <w:rsid w:val="00F938B9"/>
    <w:rsid w:val="00F97A29"/>
    <w:rsid w:val="00FA300E"/>
    <w:rsid w:val="00FA6627"/>
    <w:rsid w:val="00FB02D0"/>
    <w:rsid w:val="00FB1B59"/>
    <w:rsid w:val="00FB2DD0"/>
    <w:rsid w:val="00FC03D1"/>
    <w:rsid w:val="00FC0568"/>
    <w:rsid w:val="00FC112E"/>
    <w:rsid w:val="00FC13C2"/>
    <w:rsid w:val="00FC3AC6"/>
    <w:rsid w:val="00FC3CAA"/>
    <w:rsid w:val="00FC61D4"/>
    <w:rsid w:val="00FC6225"/>
    <w:rsid w:val="00FD0186"/>
    <w:rsid w:val="00FD01E5"/>
    <w:rsid w:val="00FD2D3D"/>
    <w:rsid w:val="00FD2EA1"/>
    <w:rsid w:val="00FD3C4D"/>
    <w:rsid w:val="00FD5DBC"/>
    <w:rsid w:val="00FD64DF"/>
    <w:rsid w:val="00FE1D0E"/>
    <w:rsid w:val="00FE1D36"/>
    <w:rsid w:val="00FF3F60"/>
    <w:rsid w:val="00FF7518"/>
    <w:rsid w:val="01264B43"/>
    <w:rsid w:val="014F4893"/>
    <w:rsid w:val="01914B6A"/>
    <w:rsid w:val="01E8799B"/>
    <w:rsid w:val="021D04C6"/>
    <w:rsid w:val="02445A7A"/>
    <w:rsid w:val="02F40C6A"/>
    <w:rsid w:val="03F60FF6"/>
    <w:rsid w:val="040E6340"/>
    <w:rsid w:val="045D2E23"/>
    <w:rsid w:val="047343F5"/>
    <w:rsid w:val="05463D08"/>
    <w:rsid w:val="05F15F19"/>
    <w:rsid w:val="06155A61"/>
    <w:rsid w:val="07CD02C0"/>
    <w:rsid w:val="08455EED"/>
    <w:rsid w:val="08CD5D31"/>
    <w:rsid w:val="08D85FE6"/>
    <w:rsid w:val="09335433"/>
    <w:rsid w:val="0AA572D2"/>
    <w:rsid w:val="0B015E43"/>
    <w:rsid w:val="0B091F29"/>
    <w:rsid w:val="0B923CFA"/>
    <w:rsid w:val="0C8C699B"/>
    <w:rsid w:val="0CA84E40"/>
    <w:rsid w:val="0D25548E"/>
    <w:rsid w:val="0DB51860"/>
    <w:rsid w:val="0E71409B"/>
    <w:rsid w:val="0F1F3AF7"/>
    <w:rsid w:val="0F977B31"/>
    <w:rsid w:val="0FA00BF8"/>
    <w:rsid w:val="0FB233A7"/>
    <w:rsid w:val="110F5677"/>
    <w:rsid w:val="113B7D97"/>
    <w:rsid w:val="11F35990"/>
    <w:rsid w:val="13387834"/>
    <w:rsid w:val="14602490"/>
    <w:rsid w:val="14691370"/>
    <w:rsid w:val="146B18FC"/>
    <w:rsid w:val="147905DD"/>
    <w:rsid w:val="15066809"/>
    <w:rsid w:val="16753FFC"/>
    <w:rsid w:val="17326366"/>
    <w:rsid w:val="173A0B8A"/>
    <w:rsid w:val="19142C0B"/>
    <w:rsid w:val="19F93196"/>
    <w:rsid w:val="1B2A38E1"/>
    <w:rsid w:val="1CCB1631"/>
    <w:rsid w:val="1D242297"/>
    <w:rsid w:val="1D67781B"/>
    <w:rsid w:val="1DF81251"/>
    <w:rsid w:val="1EF446BA"/>
    <w:rsid w:val="1F38650F"/>
    <w:rsid w:val="1FB20CDD"/>
    <w:rsid w:val="204A474C"/>
    <w:rsid w:val="216D5DDE"/>
    <w:rsid w:val="21C1459A"/>
    <w:rsid w:val="21CD1220"/>
    <w:rsid w:val="21EF14D9"/>
    <w:rsid w:val="22782E2B"/>
    <w:rsid w:val="22FA2236"/>
    <w:rsid w:val="23BD6681"/>
    <w:rsid w:val="23FE33A6"/>
    <w:rsid w:val="2540611D"/>
    <w:rsid w:val="25D828F3"/>
    <w:rsid w:val="25E04E14"/>
    <w:rsid w:val="26125853"/>
    <w:rsid w:val="270B1CAF"/>
    <w:rsid w:val="270D202F"/>
    <w:rsid w:val="278014A3"/>
    <w:rsid w:val="27AC7A9A"/>
    <w:rsid w:val="27EB6814"/>
    <w:rsid w:val="283678CA"/>
    <w:rsid w:val="28883AE4"/>
    <w:rsid w:val="292337CC"/>
    <w:rsid w:val="297665B1"/>
    <w:rsid w:val="299576A7"/>
    <w:rsid w:val="2A4D4C31"/>
    <w:rsid w:val="2B1D49DD"/>
    <w:rsid w:val="2B253DEB"/>
    <w:rsid w:val="2C2B5431"/>
    <w:rsid w:val="2C491D5B"/>
    <w:rsid w:val="2CD933E3"/>
    <w:rsid w:val="2D871B7E"/>
    <w:rsid w:val="2E25064B"/>
    <w:rsid w:val="2E444588"/>
    <w:rsid w:val="2E7C01C6"/>
    <w:rsid w:val="2ED708AF"/>
    <w:rsid w:val="307B44AD"/>
    <w:rsid w:val="30A47B3F"/>
    <w:rsid w:val="30A56E8B"/>
    <w:rsid w:val="30F027A5"/>
    <w:rsid w:val="31711604"/>
    <w:rsid w:val="31761E32"/>
    <w:rsid w:val="317C068F"/>
    <w:rsid w:val="317D6F03"/>
    <w:rsid w:val="318B24CE"/>
    <w:rsid w:val="318D4498"/>
    <w:rsid w:val="31FA40BC"/>
    <w:rsid w:val="31FE0EF2"/>
    <w:rsid w:val="32096846"/>
    <w:rsid w:val="32B2044E"/>
    <w:rsid w:val="32C713D9"/>
    <w:rsid w:val="339415CD"/>
    <w:rsid w:val="33B57FD6"/>
    <w:rsid w:val="344C4197"/>
    <w:rsid w:val="346239BA"/>
    <w:rsid w:val="351729F7"/>
    <w:rsid w:val="351A4352"/>
    <w:rsid w:val="36DD1A1E"/>
    <w:rsid w:val="36F01751"/>
    <w:rsid w:val="37D44AC0"/>
    <w:rsid w:val="381B0DE0"/>
    <w:rsid w:val="38743CBC"/>
    <w:rsid w:val="389B393F"/>
    <w:rsid w:val="39772A5E"/>
    <w:rsid w:val="3A3145A6"/>
    <w:rsid w:val="3AA348DA"/>
    <w:rsid w:val="3AE80991"/>
    <w:rsid w:val="3D4F2F4A"/>
    <w:rsid w:val="3D583BAC"/>
    <w:rsid w:val="3D7678AA"/>
    <w:rsid w:val="3DCE0312"/>
    <w:rsid w:val="3DEE5371"/>
    <w:rsid w:val="3E0B2161"/>
    <w:rsid w:val="3EB3700C"/>
    <w:rsid w:val="3F695DAF"/>
    <w:rsid w:val="3F970419"/>
    <w:rsid w:val="3FD94A5E"/>
    <w:rsid w:val="3FF346A5"/>
    <w:rsid w:val="40426A0D"/>
    <w:rsid w:val="40483E8F"/>
    <w:rsid w:val="409B00F4"/>
    <w:rsid w:val="416F7716"/>
    <w:rsid w:val="419467C5"/>
    <w:rsid w:val="42154762"/>
    <w:rsid w:val="42316423"/>
    <w:rsid w:val="427F607F"/>
    <w:rsid w:val="42DD6FD1"/>
    <w:rsid w:val="435C1F1C"/>
    <w:rsid w:val="444B4486"/>
    <w:rsid w:val="448D7806"/>
    <w:rsid w:val="44EF6903"/>
    <w:rsid w:val="455463E3"/>
    <w:rsid w:val="45880BDF"/>
    <w:rsid w:val="45EC57D9"/>
    <w:rsid w:val="481E1E96"/>
    <w:rsid w:val="482A77B7"/>
    <w:rsid w:val="491B3642"/>
    <w:rsid w:val="499835B4"/>
    <w:rsid w:val="49EF5F9E"/>
    <w:rsid w:val="4A606FC4"/>
    <w:rsid w:val="4AA04DE4"/>
    <w:rsid w:val="4ABB577A"/>
    <w:rsid w:val="4B2F7969"/>
    <w:rsid w:val="4B676D04"/>
    <w:rsid w:val="4B7B52FE"/>
    <w:rsid w:val="4BE31FF4"/>
    <w:rsid w:val="4D236472"/>
    <w:rsid w:val="4D7A7B6F"/>
    <w:rsid w:val="4E406DDB"/>
    <w:rsid w:val="4FFD36F1"/>
    <w:rsid w:val="500F0A42"/>
    <w:rsid w:val="50572C20"/>
    <w:rsid w:val="507727D0"/>
    <w:rsid w:val="51893CB4"/>
    <w:rsid w:val="52000723"/>
    <w:rsid w:val="52031DD4"/>
    <w:rsid w:val="52D70628"/>
    <w:rsid w:val="532F31A9"/>
    <w:rsid w:val="534F7436"/>
    <w:rsid w:val="53807561"/>
    <w:rsid w:val="539179C0"/>
    <w:rsid w:val="53E21EB8"/>
    <w:rsid w:val="53EF7D06"/>
    <w:rsid w:val="5448476A"/>
    <w:rsid w:val="54907C78"/>
    <w:rsid w:val="5604091D"/>
    <w:rsid w:val="561C593D"/>
    <w:rsid w:val="568455BA"/>
    <w:rsid w:val="56D74523"/>
    <w:rsid w:val="5723297B"/>
    <w:rsid w:val="589917F1"/>
    <w:rsid w:val="58F3158F"/>
    <w:rsid w:val="5A5654C0"/>
    <w:rsid w:val="5A6E0A5B"/>
    <w:rsid w:val="5AC01810"/>
    <w:rsid w:val="5AC539C3"/>
    <w:rsid w:val="5ACD2EC3"/>
    <w:rsid w:val="5BFD72FD"/>
    <w:rsid w:val="5C1178F0"/>
    <w:rsid w:val="5CD9561D"/>
    <w:rsid w:val="5D9F2CDA"/>
    <w:rsid w:val="5E6B5D01"/>
    <w:rsid w:val="5F5E7760"/>
    <w:rsid w:val="6050744A"/>
    <w:rsid w:val="6085265B"/>
    <w:rsid w:val="60EF4B00"/>
    <w:rsid w:val="61C4673C"/>
    <w:rsid w:val="620D321D"/>
    <w:rsid w:val="62274007"/>
    <w:rsid w:val="63906669"/>
    <w:rsid w:val="64030466"/>
    <w:rsid w:val="64572560"/>
    <w:rsid w:val="65366619"/>
    <w:rsid w:val="65553017"/>
    <w:rsid w:val="65A60E13"/>
    <w:rsid w:val="65EA2FEA"/>
    <w:rsid w:val="668D579A"/>
    <w:rsid w:val="66A26ACF"/>
    <w:rsid w:val="66AA6977"/>
    <w:rsid w:val="66D103A8"/>
    <w:rsid w:val="691C1682"/>
    <w:rsid w:val="69456E2B"/>
    <w:rsid w:val="698466D7"/>
    <w:rsid w:val="6A046544"/>
    <w:rsid w:val="6A3F2666"/>
    <w:rsid w:val="6A682DD1"/>
    <w:rsid w:val="6ADC37BF"/>
    <w:rsid w:val="6AFE1987"/>
    <w:rsid w:val="6B3D24B0"/>
    <w:rsid w:val="6B981494"/>
    <w:rsid w:val="6D920165"/>
    <w:rsid w:val="6DC747D0"/>
    <w:rsid w:val="6E49116B"/>
    <w:rsid w:val="6F5B73A8"/>
    <w:rsid w:val="6F810922"/>
    <w:rsid w:val="6FBB7E47"/>
    <w:rsid w:val="70C0289D"/>
    <w:rsid w:val="70E25C2B"/>
    <w:rsid w:val="71213CDA"/>
    <w:rsid w:val="71653865"/>
    <w:rsid w:val="718B3849"/>
    <w:rsid w:val="730E769D"/>
    <w:rsid w:val="731C29AB"/>
    <w:rsid w:val="735D7736"/>
    <w:rsid w:val="73764AE6"/>
    <w:rsid w:val="73836ECE"/>
    <w:rsid w:val="73CB0663"/>
    <w:rsid w:val="73CD64B8"/>
    <w:rsid w:val="73F007E3"/>
    <w:rsid w:val="74462E66"/>
    <w:rsid w:val="74E24CB8"/>
    <w:rsid w:val="75834F63"/>
    <w:rsid w:val="75EA0B27"/>
    <w:rsid w:val="777C60C5"/>
    <w:rsid w:val="7795589D"/>
    <w:rsid w:val="789023CF"/>
    <w:rsid w:val="7973709D"/>
    <w:rsid w:val="7A071D4B"/>
    <w:rsid w:val="7A0A5C53"/>
    <w:rsid w:val="7A150154"/>
    <w:rsid w:val="7A2C11AD"/>
    <w:rsid w:val="7B0651C6"/>
    <w:rsid w:val="7B130B37"/>
    <w:rsid w:val="7B4B6523"/>
    <w:rsid w:val="7BD36D61"/>
    <w:rsid w:val="7C06244A"/>
    <w:rsid w:val="7CBA0743"/>
    <w:rsid w:val="7CFA1176"/>
    <w:rsid w:val="7D876B75"/>
    <w:rsid w:val="7D9D6DDE"/>
    <w:rsid w:val="7E8D0C00"/>
    <w:rsid w:val="7EB41ADE"/>
    <w:rsid w:val="7EFE3EB7"/>
    <w:rsid w:val="7F6F041D"/>
    <w:rsid w:val="7FCE327F"/>
    <w:rsid w:val="7FDD34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unhideWhenUsed/>
    <w:qFormat/>
    <w:uiPriority w:val="99"/>
    <w:pPr>
      <w:jc w:val="left"/>
    </w:pPr>
  </w:style>
  <w:style w:type="paragraph" w:styleId="3">
    <w:name w:val="Balloon Text"/>
    <w:basedOn w:val="1"/>
    <w:link w:val="16"/>
    <w:autoRedefine/>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annotation subject"/>
    <w:basedOn w:val="2"/>
    <w:next w:val="2"/>
    <w:link w:val="18"/>
    <w:autoRedefine/>
    <w:semiHidden/>
    <w:unhideWhenUsed/>
    <w:qFormat/>
    <w:uiPriority w:val="99"/>
    <w:rPr>
      <w:b/>
      <w:bCs/>
    </w:rPr>
  </w:style>
  <w:style w:type="character" w:styleId="9">
    <w:name w:val="Strong"/>
    <w:basedOn w:val="8"/>
    <w:qFormat/>
    <w:uiPriority w:val="22"/>
    <w:rPr>
      <w:b/>
      <w:bCs/>
    </w:rPr>
  </w:style>
  <w:style w:type="character" w:styleId="10">
    <w:name w:val="annotation reference"/>
    <w:autoRedefine/>
    <w:semiHidden/>
    <w:unhideWhenUsed/>
    <w:qFormat/>
    <w:uiPriority w:val="99"/>
    <w:rPr>
      <w:sz w:val="21"/>
      <w:szCs w:val="21"/>
    </w:rPr>
  </w:style>
  <w:style w:type="character" w:customStyle="1" w:styleId="11">
    <w:name w:val="页眉 字符"/>
    <w:basedOn w:val="8"/>
    <w:link w:val="5"/>
    <w:autoRedefine/>
    <w:qFormat/>
    <w:uiPriority w:val="99"/>
    <w:rPr>
      <w:sz w:val="18"/>
      <w:szCs w:val="18"/>
    </w:rPr>
  </w:style>
  <w:style w:type="character" w:customStyle="1" w:styleId="12">
    <w:name w:val="页脚 字符"/>
    <w:basedOn w:val="8"/>
    <w:link w:val="4"/>
    <w:qFormat/>
    <w:uiPriority w:val="99"/>
    <w:rPr>
      <w:sz w:val="18"/>
      <w:szCs w:val="18"/>
    </w:rPr>
  </w:style>
  <w:style w:type="character" w:customStyle="1" w:styleId="13">
    <w:name w:val="批注文字 字符"/>
    <w:basedOn w:val="8"/>
    <w:link w:val="2"/>
    <w:qFormat/>
    <w:uiPriority w:val="99"/>
    <w:rPr>
      <w:rFonts w:ascii="Calibri" w:hAnsi="Calibri" w:eastAsia="宋体" w:cs="Times New Roman"/>
    </w:rPr>
  </w:style>
  <w:style w:type="paragraph" w:customStyle="1" w:styleId="1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5">
    <w:name w:val="List Paragraph"/>
    <w:basedOn w:val="1"/>
    <w:autoRedefine/>
    <w:qFormat/>
    <w:uiPriority w:val="34"/>
    <w:pPr>
      <w:ind w:firstLine="420" w:firstLineChars="200"/>
    </w:pPr>
  </w:style>
  <w:style w:type="character" w:customStyle="1" w:styleId="16">
    <w:name w:val="批注框文本 字符"/>
    <w:basedOn w:val="8"/>
    <w:link w:val="3"/>
    <w:autoRedefine/>
    <w:semiHidden/>
    <w:qFormat/>
    <w:uiPriority w:val="99"/>
    <w:rPr>
      <w:rFonts w:ascii="Calibri" w:hAnsi="Calibri" w:eastAsia="宋体" w:cs="Times New Roman"/>
      <w:sz w:val="18"/>
      <w:szCs w:val="18"/>
    </w:rPr>
  </w:style>
  <w:style w:type="paragraph" w:customStyle="1" w:styleId="17">
    <w:name w:val="修订1"/>
    <w:autoRedefine/>
    <w:hidden/>
    <w:semiHidden/>
    <w:qFormat/>
    <w:uiPriority w:val="99"/>
    <w:rPr>
      <w:rFonts w:ascii="Calibri" w:hAnsi="Calibri" w:eastAsia="宋体" w:cs="Times New Roman"/>
      <w:kern w:val="2"/>
      <w:sz w:val="21"/>
      <w:szCs w:val="22"/>
      <w:lang w:val="en-US" w:eastAsia="zh-CN" w:bidi="ar-SA"/>
    </w:rPr>
  </w:style>
  <w:style w:type="character" w:customStyle="1" w:styleId="18">
    <w:name w:val="批注主题 字符"/>
    <w:basedOn w:val="13"/>
    <w:link w:val="6"/>
    <w:autoRedefine/>
    <w:semiHidden/>
    <w:qFormat/>
    <w:uiPriority w:val="99"/>
    <w:rPr>
      <w:rFonts w:ascii="Calibri" w:hAnsi="Calibri" w:eastAsia="宋体" w:cs="Times New Roman"/>
      <w:b/>
      <w:bCs/>
    </w:rPr>
  </w:style>
  <w:style w:type="paragraph" w:customStyle="1" w:styleId="19">
    <w:name w:val="YJH-nei"/>
    <w:basedOn w:val="1"/>
    <w:autoRedefine/>
    <w:qFormat/>
    <w:uiPriority w:val="0"/>
    <w:pPr>
      <w:spacing w:line="600" w:lineRule="exact"/>
      <w:ind w:firstLine="200" w:firstLineChars="200"/>
    </w:pPr>
    <w:rPr>
      <w:rFonts w:hint="eastAsia" w:ascii="仿宋_GB2312" w:hAnsi="宋体" w:eastAsia="仿宋_GB2312" w:cs="宋体"/>
      <w:kern w:val="0"/>
      <w:sz w:val="30"/>
      <w:szCs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BANKOFQINGDAO</Company>
  <Pages>5</Pages>
  <Words>3178</Words>
  <Characters>5454</Characters>
  <Lines>34</Lines>
  <Paragraphs>9</Paragraphs>
  <TotalTime>0</TotalTime>
  <ScaleCrop>false</ScaleCrop>
  <LinksUpToDate>false</LinksUpToDate>
  <CharactersWithSpaces>5730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2020-11-19T02:12:00Z</dcterms:created>
  <dc:creator>宋健</dc:creator>
  <cp:lastModifiedBy>zz</cp:lastModifiedBy>
  <cp:lastPrinted>2021-12-13T09:47:00Z</cp:lastPrinted>
  <dcterms:modified xsi:type="dcterms:W3CDTF">2026-01-12T03:31:50Z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89C0465F7B6B48C9BAA9EA5EEA0774CF_12</vt:lpwstr>
  </property>
  <property fmtid="{D5CDD505-2E9C-101B-9397-08002B2CF9AE}" pid="4" name="KSOTemplateDocerSaveRecord">
    <vt:lpwstr>eyJoZGlkIjoiMTJlODQ5NjliMTBhODYwMjlhNGRiZjQzMTAwNTkyYWIiLCJ1c2VySWQiOiI3MTA1NzAyMDMifQ==</vt:lpwstr>
  </property>
</Properties>
</file>