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9</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30</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hint="default" w:ascii="仿宋" w:hAnsi="仿宋" w:eastAsia="仿宋" w:cs="Segoe UI"/>
          <w:b/>
          <w:bCs/>
          <w:color w:val="000000"/>
          <w:kern w:val="0"/>
          <w:sz w:val="32"/>
          <w:szCs w:val="32"/>
          <w:lang w:val="en-US" w:eastAsia="zh-CN"/>
        </w:rPr>
      </w:pPr>
      <w:r>
        <w:rPr>
          <w:rFonts w:hint="eastAsia" w:ascii="仿宋" w:hAnsi="仿宋" w:eastAsia="仿宋" w:cs="Segoe UI"/>
          <w:b/>
          <w:bCs/>
          <w:color w:val="000000"/>
          <w:kern w:val="0"/>
          <w:sz w:val="32"/>
          <w:szCs w:val="32"/>
        </w:rPr>
        <w:t>尊敬的客户：</w:t>
      </w:r>
      <w:r>
        <w:rPr>
          <w:rFonts w:hint="eastAsia" w:ascii="仿宋" w:hAnsi="仿宋" w:eastAsia="仿宋" w:cs="Segoe UI"/>
          <w:b/>
          <w:bCs/>
          <w:color w:val="000000"/>
          <w:kern w:val="0"/>
          <w:sz w:val="32"/>
          <w:szCs w:val="32"/>
          <w:lang w:val="en-US" w:eastAsia="zh-CN"/>
        </w:rPr>
        <w:t xml:space="preserve">  </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9</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宋体" w:cs="Arial"/>
                <w:i w:val="0"/>
                <w:iCs w:val="0"/>
                <w:color w:val="000000"/>
                <w:kern w:val="0"/>
                <w:sz w:val="20"/>
                <w:szCs w:val="20"/>
                <w:u w:val="none"/>
                <w:lang w:val="en-US" w:eastAsia="zh-CN" w:bidi="ar"/>
              </w:rPr>
              <w:t>JG256M053</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199,699,000.00</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2196141.88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2242147.55 </w:t>
            </w:r>
          </w:p>
        </w:tc>
      </w:tr>
      <w:tr w14:paraId="52C92217">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JG256M057</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66,083,000.00</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730769.35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718039.60 </w:t>
            </w:r>
          </w:p>
        </w:tc>
      </w:tr>
      <w:tr w14:paraId="54C920CF">
        <w:tblPrEx>
          <w:tblCellMar>
            <w:top w:w="0" w:type="dxa"/>
            <w:left w:w="108" w:type="dxa"/>
            <w:bottom w:w="0" w:type="dxa"/>
            <w:right w:w="108" w:type="dxa"/>
          </w:tblCellMar>
        </w:tblPrEx>
        <w:trPr>
          <w:trHeight w:val="327"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JG255M061</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99,231,000.00</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889001.01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868101.50 </w:t>
            </w:r>
          </w:p>
        </w:tc>
      </w:tr>
      <w:tr w14:paraId="423AABE4">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JG254M065</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87,265,000.00</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729678.85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712652.83 </w:t>
            </w:r>
          </w:p>
        </w:tc>
      </w:tr>
      <w:tr w14:paraId="51C4B9A8">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JG253M071</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75,047,000.00</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538672.97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525813.90 </w:t>
            </w:r>
          </w:p>
        </w:tc>
      </w:tr>
      <w:tr w14:paraId="23D0F227">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JG254M073</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109,410,000.00</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923420.40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900174.74 </w:t>
            </w:r>
          </w:p>
        </w:tc>
      </w:tr>
      <w:tr w14:paraId="6929689E">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JG255M076</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125,263,000.00</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1086184.64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1063434.90 </w:t>
            </w:r>
          </w:p>
        </w:tc>
      </w:tr>
      <w:tr w14:paraId="319354D8">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JG254M079</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127,415,000.00</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1075382.60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1049610.28 </w:t>
            </w:r>
          </w:p>
        </w:tc>
      </w:tr>
      <w:tr w14:paraId="13789E4A">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JG253M083</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196,494,000.00</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1158130.25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1130483.65 </w:t>
            </w:r>
          </w:p>
        </w:tc>
      </w:tr>
      <w:tr w14:paraId="4A1BA1F1">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JG253M084</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199,935,000.00</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1178411.41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1150074.06 </w:t>
            </w:r>
          </w:p>
        </w:tc>
      </w:tr>
      <w:tr w14:paraId="0630A68B">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JG254M085</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105,124,000.00</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802168.12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782300.14 </w:t>
            </w:r>
          </w:p>
        </w:tc>
      </w:tr>
      <w:tr w14:paraId="6FE04B56">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JG253M086</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154,895,000.00</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903907.81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882054.58 </w:t>
            </w:r>
          </w:p>
        </w:tc>
      </w:tr>
      <w:tr w14:paraId="081B8BC9">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JG253M087</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197,469,000.00</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1163876.88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1135647.72 </w:t>
            </w:r>
          </w:p>
        </w:tc>
      </w:tr>
      <w:tr w14:paraId="3272CFE8">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JG254M088</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165,224,000.00</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1260772.29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1231332.05 </w:t>
            </w:r>
          </w:p>
        </w:tc>
      </w:tr>
      <w:tr w14:paraId="357F39A4">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JG255M089</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103,301,000.00</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2.22</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1074754.92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1049848.90 </w:t>
            </w:r>
          </w:p>
        </w:tc>
      </w:tr>
      <w:tr w14:paraId="60A7CD5B">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JG251Y090</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111,601,000.00</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2455222.00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2383638.87 </w:t>
            </w:r>
          </w:p>
        </w:tc>
      </w:tr>
      <w:tr w14:paraId="43FAFF36">
        <w:tblPrEx>
          <w:tblCellMar>
            <w:top w:w="0" w:type="dxa"/>
            <w:left w:w="108" w:type="dxa"/>
            <w:bottom w:w="0" w:type="dxa"/>
            <w:right w:w="108" w:type="dxa"/>
          </w:tblCellMar>
        </w:tblPrEx>
        <w:trPr>
          <w:trHeight w:val="30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JG253M091</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235,136,000.00</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1495851.48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1463389.87 </w:t>
            </w:r>
          </w:p>
        </w:tc>
      </w:tr>
      <w:tr w14:paraId="5B6FC600">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JG251Y092</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177,174,000.00</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3919185.96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3808208.34 </w:t>
            </w:r>
          </w:p>
        </w:tc>
      </w:tr>
      <w:tr w14:paraId="293F11C0">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JG251Y094</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129,400,000.00</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2846800.00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2763471.50 </w:t>
            </w:r>
          </w:p>
        </w:tc>
      </w:tr>
      <w:tr w14:paraId="39B65BFA">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JG253M093</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153,965,000.00</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970401.32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948255.37 </w:t>
            </w:r>
          </w:p>
        </w:tc>
      </w:tr>
      <w:tr w14:paraId="1793133A">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JG253M095</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103,847,000.00</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660637.63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645038.48 </w:t>
            </w:r>
          </w:p>
        </w:tc>
      </w:tr>
      <w:tr w14:paraId="0BA96EB9">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JG251Y096</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99,799,000.00</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2189562.72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2123942.57 </w:t>
            </w:r>
          </w:p>
        </w:tc>
      </w:tr>
      <w:tr w14:paraId="67EAF197">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JG254M097</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36,770,000.00</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270738.01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265481.77 </w:t>
            </w:r>
          </w:p>
        </w:tc>
      </w:tr>
      <w:tr w14:paraId="46E2C195">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JG256M098</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172,219,000.00</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2.22</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1894173.08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1906637.55 </w:t>
            </w:r>
          </w:p>
        </w:tc>
      </w:tr>
      <w:tr w14:paraId="3DBB0520">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JG253M099</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136,284,000.00</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947267.15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955091.84 </w:t>
            </w:r>
          </w:p>
        </w:tc>
      </w:tr>
      <w:tr w14:paraId="22D731CC">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JG251Y100</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156,168,000.00</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3435696.00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3407311.99 </w:t>
            </w:r>
          </w:p>
        </w:tc>
      </w:tr>
      <w:tr w14:paraId="77D1E6BF">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JG253M101</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102,600,000.00</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701053.15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706280.12 </w:t>
            </w:r>
          </w:p>
        </w:tc>
      </w:tr>
      <w:tr w14:paraId="3A452B94">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JG253M102</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199,195,000.00</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1337608.07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1349499.25 </w:t>
            </w:r>
          </w:p>
        </w:tc>
      </w:tr>
      <w:tr w14:paraId="3C1FF6C8">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JG251Y103</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114,096,000.00</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2487292.80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2467678.19 </w:t>
            </w:r>
          </w:p>
        </w:tc>
      </w:tr>
      <w:tr w14:paraId="0EC12B62">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JG253M104</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99,995,000.00</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612161.17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619131.50 </w:t>
            </w:r>
          </w:p>
        </w:tc>
      </w:tr>
      <w:tr w14:paraId="11A29A16">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JG251Y106</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99,536,000.00</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2.15</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2090256.00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2076135.22 </w:t>
            </w:r>
          </w:p>
        </w:tc>
      </w:tr>
      <w:tr w14:paraId="56061EE1">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JG253M105</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184,866,000.00</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1124390.47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1137282.51 </w:t>
            </w:r>
          </w:p>
        </w:tc>
      </w:tr>
      <w:tr w14:paraId="71B5949F">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JG253M107</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34,982,000.00</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193599.01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196163.97 </w:t>
            </w:r>
          </w:p>
        </w:tc>
      </w:tr>
      <w:tr w14:paraId="318AEA47">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JG253M108</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35,010,000.00</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191835.62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193917.69 </w:t>
            </w:r>
          </w:p>
        </w:tc>
      </w:tr>
      <w:tr w14:paraId="2DE210AF">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JG253M109</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299,630,000.00</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1608972.05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1617666.74 </w:t>
            </w:r>
          </w:p>
        </w:tc>
      </w:tr>
      <w:tr w14:paraId="6177E727">
        <w:tblPrEx>
          <w:tblCellMar>
            <w:top w:w="0" w:type="dxa"/>
            <w:left w:w="108" w:type="dxa"/>
            <w:bottom w:w="0" w:type="dxa"/>
            <w:right w:w="108" w:type="dxa"/>
          </w:tblCellMar>
        </w:tblPrEx>
        <w:trPr>
          <w:trHeight w:val="270" w:hRule="atLeast"/>
        </w:trPr>
        <w:tc>
          <w:tcPr>
            <w:tcW w:w="851" w:type="pct"/>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JG251Y110</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254,878,000.00</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2.15</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5352438.00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5290490.64 </w:t>
            </w:r>
          </w:p>
        </w:tc>
      </w:tr>
      <w:tr w14:paraId="547ED3F6">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JG254M111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118,634,000.00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1.93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751587.02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749084.64 </w:t>
            </w:r>
          </w:p>
        </w:tc>
      </w:tr>
      <w:tr w14:paraId="7E591A3C">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JG251Y113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65,720,000.00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1314400.00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1290811.40 </w:t>
            </w:r>
          </w:p>
        </w:tc>
      </w:tr>
      <w:tr w14:paraId="1545517C">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JG254M112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89,601,000.00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558422.89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553295.11 </w:t>
            </w:r>
          </w:p>
        </w:tc>
      </w:tr>
      <w:tr w14:paraId="657CF339">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JG254M114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294,910,000.00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1762026.65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1745931.37 </w:t>
            </w:r>
          </w:p>
        </w:tc>
      </w:tr>
      <w:tr w14:paraId="4659B801">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JG251Y115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147,079,000.00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2860182.85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2804563.12 </w:t>
            </w:r>
          </w:p>
        </w:tc>
      </w:tr>
      <w:tr w14:paraId="1F731FA0">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JG253M116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178,680,000.00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1.93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1049169.80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1032219.97 </w:t>
            </w:r>
          </w:p>
        </w:tc>
      </w:tr>
      <w:tr w14:paraId="225AE9B1">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JG251Y117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49,768,000.00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970476.00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947804.69 </w:t>
            </w:r>
          </w:p>
        </w:tc>
      </w:tr>
      <w:tr w14:paraId="192B4319">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678407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JG253M118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285501">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50,000,000.00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8FDFC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DDC076">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C0C8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276232.88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1F30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272902.66 </w:t>
            </w:r>
          </w:p>
        </w:tc>
      </w:tr>
      <w:tr w14:paraId="0A6163A8">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00BE8D0">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JG251Y119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75C3F3">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49,098,000.00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30E8FC">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AB0E0E">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E9A684">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954787.96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F79ECD">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934485.61 </w:t>
            </w:r>
          </w:p>
        </w:tc>
      </w:tr>
      <w:tr w14:paraId="0B4DFDE1">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E36DB40">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JG253M120</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BA9B33">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49,800,000.00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58632A">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56468E">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510C55">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280176.16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C3A2F6">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275112.31 </w:t>
            </w:r>
          </w:p>
        </w:tc>
      </w:tr>
      <w:tr w14:paraId="48DDC355">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6A9D78AB">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JG253M121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02D4A8">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199,890,000.00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D05318">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7DFEC0">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208827">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1134718.03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226413">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1115166.93 </w:t>
            </w:r>
          </w:p>
        </w:tc>
      </w:tr>
      <w:tr w14:paraId="7B76D7BB">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8BCA510">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JG251Y122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95390E">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166,673,000.00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75B156">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CDC406">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14408C">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3241219.05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3DDB59">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3162523.87 </w:t>
            </w:r>
          </w:p>
        </w:tc>
      </w:tr>
      <w:tr w14:paraId="3F9EFE5B">
        <w:tblPrEx>
          <w:tblCellMar>
            <w:top w:w="0" w:type="dxa"/>
            <w:left w:w="108" w:type="dxa"/>
            <w:bottom w:w="0" w:type="dxa"/>
            <w:right w:w="108" w:type="dxa"/>
          </w:tblCellMar>
        </w:tblPrEx>
        <w:trPr>
          <w:trHeight w:val="270" w:hRule="atLeast"/>
        </w:trPr>
        <w:tc>
          <w:tcPr>
            <w:tcW w:w="851" w:type="pct"/>
            <w:tcBorders>
              <w:top w:val="single" w:color="auto" w:sz="4" w:space="0"/>
              <w:left w:val="single" w:color="auto" w:sz="4" w:space="0"/>
              <w:bottom w:val="single" w:color="auto" w:sz="4" w:space="0"/>
              <w:right w:val="single" w:color="auto" w:sz="4" w:space="0"/>
            </w:tcBorders>
            <w:shd w:val="clear" w:color="auto" w:fill="auto"/>
            <w:noWrap/>
            <w:vAlign w:val="bottom"/>
          </w:tcPr>
          <w:p w14:paraId="238E0B86">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JG253M123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C05687">
            <w:pPr>
              <w:keepNext w:val="0"/>
              <w:keepLines w:val="0"/>
              <w:widowControl/>
              <w:suppressLineNumbers w:val="0"/>
              <w:jc w:val="lef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49,930,000.00</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54315A">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5FA58D">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04C004">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283438.25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D6B98E">
            <w:pPr>
              <w:keepNext w:val="0"/>
              <w:keepLines w:val="0"/>
              <w:widowControl/>
              <w:suppressLineNumbers w:val="0"/>
              <w:jc w:val="right"/>
              <w:textAlignment w:val="bottom"/>
              <w:rPr>
                <w:rFonts w:hint="default" w:ascii="Arial" w:hAnsi="Arial" w:eastAsia="等线"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277439.04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w:t>
      </w:r>
      <w:r>
        <w:rPr>
          <w:rFonts w:hint="eastAsia" w:ascii="仿宋_GB2312" w:hAnsi="宋体" w:eastAsia="仿宋_GB2312" w:cs="宋体"/>
          <w:b/>
          <w:bCs/>
          <w:kern w:val="0"/>
          <w:sz w:val="24"/>
        </w:rPr>
        <w:t>保底收益</w:t>
      </w:r>
      <w:r>
        <w:rPr>
          <w:rFonts w:hint="eastAsia" w:ascii="仿宋" w:hAnsi="仿宋" w:eastAsia="仿宋"/>
          <w:b/>
          <w:sz w:val="24"/>
          <w:szCs w:val="24"/>
        </w:rPr>
        <w:t>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w:t>
      </w:r>
      <w:r>
        <w:rPr>
          <w:rFonts w:ascii="仿宋" w:hAnsi="仿宋" w:eastAsia="仿宋" w:cs="Times New Roman"/>
          <w:sz w:val="24"/>
          <w:szCs w:val="24"/>
        </w:rPr>
        <w:t>风险</w:t>
      </w:r>
      <w:r>
        <w:rPr>
          <w:rFonts w:ascii="仿宋" w:hAnsi="仿宋" w:eastAsia="仿宋"/>
          <w:sz w:val="24"/>
          <w:szCs w:val="24"/>
        </w:rPr>
        <w:t>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_GB2312" w:hAnsi="宋体" w:eastAsia="仿宋_GB2312" w:cs="仿宋_GB2312"/>
          <w:kern w:val="0"/>
          <w:sz w:val="24"/>
        </w:rPr>
        <w:t>投资者投资本结构性存款可能面临的风险主要包括（但不限于）：</w:t>
      </w:r>
    </w:p>
    <w:p w14:paraId="097039AE">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1.市场风险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结构性存款产品收益取决于挂钩标的的市场变化，受多种市场因素的影响。</w:t>
      </w:r>
      <w:r>
        <w:rPr>
          <w:rFonts w:hint="eastAsia" w:ascii="仿宋" w:hAnsi="仿宋" w:eastAsia="仿宋" w:cs="仿宋"/>
          <w:b/>
          <w:bCs/>
          <w:sz w:val="24"/>
          <w:szCs w:val="24"/>
        </w:rPr>
        <w:t>在产品存续期内，可能会因利率市场、汇率市场、黄金市场等一种或多种市场风险，导致产品实际收益的波动。</w:t>
      </w:r>
      <w:r>
        <w:rPr>
          <w:rFonts w:hint="eastAsia" w:ascii="仿宋" w:hAnsi="仿宋" w:eastAsia="仿宋" w:cs="仿宋"/>
          <w:sz w:val="24"/>
          <w:szCs w:val="24"/>
        </w:rPr>
        <w:t>根据产品设计不同，可能会出现如市场利率大幅上升，但产品的年化收益率不会随市场利率上升而调整，或因挂钩标的突破目标区间，</w:t>
      </w:r>
      <w:r>
        <w:rPr>
          <w:rFonts w:hint="eastAsia" w:ascii="仿宋" w:hAnsi="仿宋" w:eastAsia="仿宋" w:cs="仿宋"/>
          <w:sz w:val="24"/>
          <w:szCs w:val="24"/>
          <w:highlight w:val="none"/>
        </w:rPr>
        <w:t>投资者无法获得高于保底收益等收益不确定情形。</w:t>
      </w:r>
      <w:r>
        <w:rPr>
          <w:rFonts w:hint="eastAsia" w:ascii="仿宋" w:hAnsi="仿宋" w:eastAsia="仿宋" w:cs="仿宋"/>
          <w:b/>
          <w:bCs/>
          <w:sz w:val="24"/>
          <w:szCs w:val="24"/>
        </w:rPr>
        <w:t>收益不确定的风险由投资者自行承担。</w:t>
      </w:r>
    </w:p>
    <w:p w14:paraId="097039AF">
      <w:pPr>
        <w:widowControl/>
        <w:snapToGrid w:val="0"/>
        <w:ind w:firstLine="482" w:firstLineChars="200"/>
        <w:jc w:val="left"/>
        <w:rPr>
          <w:rFonts w:hint="eastAsia" w:ascii="仿宋" w:hAnsi="仿宋" w:eastAsia="仿宋" w:cs="仿宋"/>
          <w:b/>
          <w:kern w:val="44"/>
          <w:sz w:val="24"/>
          <w:szCs w:val="24"/>
        </w:rPr>
      </w:pPr>
      <w:r>
        <w:rPr>
          <w:rFonts w:hint="eastAsia" w:ascii="仿宋" w:hAnsi="仿宋" w:eastAsia="仿宋" w:cs="仿宋"/>
          <w:b/>
          <w:kern w:val="44"/>
          <w:sz w:val="24"/>
          <w:szCs w:val="24"/>
        </w:rPr>
        <w:t>2</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认购风险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如出现市场剧烈波动，相关法规政策变化等可能影响本结构性存款产品正常运作的情况，青岛银行有权停止发售本结构性存款产品，投资者将无法在约定认购期内购买本结构性存款产品。</w:t>
      </w:r>
    </w:p>
    <w:p w14:paraId="097039B0">
      <w:pPr>
        <w:widowControl/>
        <w:snapToGrid w:val="0"/>
        <w:ind w:firstLine="482" w:firstLineChars="200"/>
        <w:jc w:val="left"/>
        <w:rPr>
          <w:rStyle w:val="10"/>
          <w:rFonts w:hint="eastAsia" w:ascii="仿宋" w:hAnsi="仿宋" w:eastAsia="仿宋" w:cs="仿宋"/>
          <w:sz w:val="24"/>
          <w:szCs w:val="24"/>
        </w:rPr>
      </w:pPr>
      <w:r>
        <w:rPr>
          <w:rFonts w:hint="eastAsia" w:ascii="仿宋" w:hAnsi="仿宋" w:eastAsia="仿宋" w:cs="仿宋"/>
          <w:b/>
          <w:kern w:val="44"/>
          <w:sz w:val="24"/>
          <w:szCs w:val="24"/>
        </w:rPr>
        <w:t>3.利率风险：</w:t>
      </w:r>
      <w:r>
        <w:rPr>
          <w:rFonts w:hint="eastAsia" w:ascii="仿宋" w:hAnsi="仿宋" w:eastAsia="仿宋" w:cs="仿宋"/>
          <w:sz w:val="24"/>
          <w:szCs w:val="24"/>
        </w:rPr>
        <w:t>本产品存续期内，如果市场利率发生变化，本产品收益率不随市场利率变化而变化;如果发生通货膨胀，则投资于产品所获得的收益可能会被通货膨胀抵消，从而对结构性存款收益产生影响</w:t>
      </w:r>
      <w:r>
        <w:rPr>
          <w:rStyle w:val="10"/>
          <w:rFonts w:hint="eastAsia" w:ascii="仿宋" w:hAnsi="仿宋" w:eastAsia="仿宋" w:cs="仿宋"/>
          <w:sz w:val="24"/>
          <w:szCs w:val="24"/>
        </w:rPr>
        <w:t>。</w:t>
      </w:r>
    </w:p>
    <w:p w14:paraId="097039B1">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4</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流动性风险：</w:t>
      </w:r>
      <w:r>
        <w:rPr>
          <w:rFonts w:hint="eastAsia" w:ascii="仿宋" w:hAnsi="仿宋" w:eastAsia="仿宋" w:cs="仿宋"/>
          <w:b/>
          <w:sz w:val="24"/>
          <w:szCs w:val="24"/>
        </w:rPr>
        <w:t>存款期限内，投资本结构性存款的投资者不能提前终止或赎回</w:t>
      </w:r>
      <w:r>
        <w:rPr>
          <w:rFonts w:hint="eastAsia" w:ascii="仿宋" w:hAnsi="仿宋" w:eastAsia="仿宋" w:cs="仿宋"/>
          <w:sz w:val="24"/>
          <w:szCs w:val="24"/>
        </w:rPr>
        <w:t>，投资者须持有本产品到期，面临产品存续期间不能提前支取的流动性风险。</w:t>
      </w:r>
    </w:p>
    <w:p w14:paraId="097039B2">
      <w:pPr>
        <w:pStyle w:val="14"/>
        <w:snapToGrid w:val="0"/>
        <w:ind w:firstLine="482" w:firstLineChars="200"/>
        <w:jc w:val="both"/>
        <w:rPr>
          <w:rFonts w:hint="eastAsia" w:ascii="仿宋" w:hAnsi="仿宋" w:eastAsia="仿宋" w:cs="仿宋"/>
          <w:color w:val="auto"/>
          <w:kern w:val="2"/>
          <w:sz w:val="24"/>
          <w:szCs w:val="24"/>
        </w:rPr>
      </w:pPr>
      <w:r>
        <w:rPr>
          <w:rFonts w:hint="eastAsia" w:ascii="仿宋" w:hAnsi="仿宋" w:eastAsia="仿宋" w:cs="仿宋"/>
          <w:b/>
          <w:color w:val="auto"/>
          <w:kern w:val="44"/>
          <w:sz w:val="24"/>
          <w:szCs w:val="24"/>
        </w:rPr>
        <w:t>5</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政策风险</w:t>
      </w:r>
      <w:r>
        <w:rPr>
          <w:rFonts w:hint="eastAsia" w:ascii="仿宋" w:hAnsi="仿宋" w:eastAsia="仿宋" w:cs="仿宋"/>
          <w:b/>
          <w:color w:val="auto"/>
          <w:kern w:val="44"/>
          <w:sz w:val="24"/>
          <w:szCs w:val="24"/>
          <w:lang w:eastAsia="zh-CN"/>
        </w:rPr>
        <w:t>：</w:t>
      </w:r>
      <w:r>
        <w:rPr>
          <w:rFonts w:hint="eastAsia" w:ascii="仿宋" w:hAnsi="仿宋" w:eastAsia="仿宋" w:cs="仿宋"/>
          <w:color w:val="auto"/>
          <w:kern w:val="2"/>
          <w:sz w:val="24"/>
          <w:szCs w:val="24"/>
        </w:rPr>
        <w:t>本结构性存款产品是根据当前的法律法规和政策设计的。如国家宏观政策以及相关法律法规、政策发生变化，可能影响本产品的认购、投资运作、清算等业务的正常进行，导致本产品收益降低。</w:t>
      </w:r>
    </w:p>
    <w:p w14:paraId="097039B3">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6</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管理人风险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由于管理人(包括结构性存款的管理人、相关投资顾问(如有))等受经验、技能等因素的限制，会影响其对信息的获取和对经济形势、金融市场价格走势的判断。如管理人判断有误、获取信息不全、或对投资工具使用不当等，可能会影响本结构性存款的收益。如结构性存款管理人内部作业、人员管理及系统操作不当或失误，或违背相关合同约定、未严格执行风险控制措施、处理事务不当等，可能会影响本结构性存款的收益。</w:t>
      </w:r>
    </w:p>
    <w:p w14:paraId="097039B4">
      <w:pPr>
        <w:widowControl/>
        <w:snapToGrid w:val="0"/>
        <w:ind w:firstLine="482" w:firstLineChars="200"/>
        <w:jc w:val="both"/>
        <w:rPr>
          <w:rFonts w:hint="eastAsia" w:ascii="仿宋" w:hAnsi="仿宋" w:eastAsia="仿宋" w:cs="仿宋"/>
          <w:b w:val="0"/>
          <w:bCs w:val="0"/>
          <w:kern w:val="2"/>
          <w:sz w:val="24"/>
          <w:szCs w:val="24"/>
        </w:rPr>
      </w:pPr>
      <w:r>
        <w:rPr>
          <w:rFonts w:hint="eastAsia" w:ascii="仿宋" w:hAnsi="仿宋" w:eastAsia="仿宋" w:cs="仿宋"/>
          <w:b/>
          <w:kern w:val="44"/>
          <w:sz w:val="24"/>
          <w:szCs w:val="24"/>
        </w:rPr>
        <w:t>7.欠缺投资经验的风险：</w:t>
      </w:r>
      <w:r>
        <w:rPr>
          <w:rFonts w:hint="eastAsia" w:ascii="仿宋" w:hAnsi="仿宋" w:eastAsia="仿宋" w:cs="仿宋"/>
          <w:kern w:val="2"/>
          <w:sz w:val="24"/>
          <w:szCs w:val="24"/>
        </w:rPr>
        <w:t>本存款的浮动利率与挂钩标的的价格水平挂钩，利息计算较为复杂，</w:t>
      </w:r>
      <w:r>
        <w:rPr>
          <w:rFonts w:hint="eastAsia" w:ascii="仿宋" w:hAnsi="仿宋" w:eastAsia="仿宋" w:cs="仿宋"/>
          <w:b w:val="0"/>
          <w:bCs w:val="0"/>
          <w:kern w:val="2"/>
          <w:sz w:val="24"/>
          <w:szCs w:val="24"/>
        </w:rPr>
        <w:t>故只适合于具备相关投资经验和风险承受能力的存款人。</w:t>
      </w:r>
    </w:p>
    <w:p w14:paraId="097039B6">
      <w:pPr>
        <w:widowControl/>
        <w:snapToGrid w:val="0"/>
        <w:ind w:firstLine="482" w:firstLineChars="200"/>
        <w:jc w:val="both"/>
        <w:rPr>
          <w:rFonts w:hint="eastAsia" w:ascii="仿宋" w:hAnsi="仿宋" w:eastAsia="仿宋" w:cs="仿宋"/>
          <w:b w:val="0"/>
          <w:bCs w:val="0"/>
          <w:sz w:val="24"/>
          <w:szCs w:val="24"/>
        </w:rPr>
      </w:pPr>
      <w:r>
        <w:rPr>
          <w:rFonts w:hint="eastAsia" w:ascii="仿宋" w:hAnsi="仿宋" w:eastAsia="仿宋" w:cs="仿宋"/>
          <w:b/>
          <w:bCs w:val="0"/>
          <w:kern w:val="44"/>
          <w:sz w:val="24"/>
          <w:szCs w:val="24"/>
        </w:rPr>
        <w:t>8.信息传递风险</w:t>
      </w:r>
      <w:r>
        <w:rPr>
          <w:rFonts w:hint="eastAsia" w:ascii="仿宋" w:hAnsi="仿宋" w:eastAsia="仿宋" w:cs="仿宋"/>
          <w:b/>
          <w:bCs w:val="0"/>
          <w:kern w:val="44"/>
          <w:sz w:val="24"/>
          <w:szCs w:val="24"/>
          <w:lang w:eastAsia="zh-CN"/>
        </w:rPr>
        <w:t>：</w:t>
      </w:r>
      <w:r>
        <w:rPr>
          <w:rFonts w:hint="eastAsia" w:ascii="仿宋" w:hAnsi="仿宋" w:eastAsia="仿宋" w:cs="仿宋"/>
          <w:b w:val="0"/>
          <w:bCs w:val="0"/>
          <w:sz w:val="24"/>
          <w:szCs w:val="24"/>
        </w:rPr>
        <w:t>青岛银行将按照结构性存款产品说明书“信息公告与披露”的约定，发布本结构性存款产品的相关信息。如投资者在认购产品时登记的有效联系方式发生变更且未及时告知或因投资者其他原因导致青岛银行无法及时联系到投资者，则可能影响投资者的投资决策，并可能导致投资者丧失提前退出及再投资的机会，因此而产生的责任和风险由投资者自行承担。</w:t>
      </w:r>
    </w:p>
    <w:p w14:paraId="097039B8">
      <w:pPr>
        <w:pStyle w:val="14"/>
        <w:numPr>
          <w:ilvl w:val="255"/>
          <w:numId w:val="0"/>
        </w:numPr>
        <w:snapToGrid w:val="0"/>
        <w:ind w:firstLine="482" w:firstLineChars="200"/>
        <w:jc w:val="both"/>
        <w:rPr>
          <w:rFonts w:hint="eastAsia" w:ascii="仿宋" w:hAnsi="仿宋" w:eastAsia="仿宋" w:cs="仿宋"/>
          <w:b w:val="0"/>
          <w:bCs/>
          <w:color w:val="auto"/>
          <w:kern w:val="2"/>
          <w:sz w:val="24"/>
          <w:szCs w:val="24"/>
        </w:rPr>
      </w:pPr>
      <w:r>
        <w:rPr>
          <w:rFonts w:hint="eastAsia" w:ascii="仿宋" w:hAnsi="仿宋" w:eastAsia="仿宋" w:cs="仿宋"/>
          <w:b/>
          <w:color w:val="auto"/>
          <w:kern w:val="44"/>
          <w:sz w:val="24"/>
          <w:szCs w:val="24"/>
        </w:rPr>
        <w:t>9</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产品不成立风险</w:t>
      </w:r>
      <w:r>
        <w:rPr>
          <w:rFonts w:hint="eastAsia" w:ascii="仿宋" w:hAnsi="仿宋" w:eastAsia="仿宋" w:cs="仿宋"/>
          <w:b/>
          <w:color w:val="auto"/>
          <w:kern w:val="44"/>
          <w:sz w:val="24"/>
          <w:szCs w:val="24"/>
          <w:lang w:eastAsia="zh-CN"/>
        </w:rPr>
        <w:t>：</w:t>
      </w:r>
      <w:r>
        <w:rPr>
          <w:rFonts w:hint="eastAsia" w:ascii="仿宋" w:hAnsi="仿宋" w:eastAsia="仿宋" w:cs="仿宋"/>
          <w:b w:val="0"/>
          <w:bCs/>
          <w:color w:val="auto"/>
          <w:kern w:val="2"/>
          <w:sz w:val="24"/>
          <w:szCs w:val="24"/>
        </w:rPr>
        <w:t>如自本产品开始认购至产品原定成立日之前，产品认购总金额未达到募集下限，或国家宏观政策以及市场相关法规政策发生变化，或市场发生剧烈波动，经青岛银行合理判断难以按照本产品说明书规定向投资者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097039B9">
      <w:pPr>
        <w:pStyle w:val="2"/>
        <w:snapToGrid w:val="0"/>
        <w:ind w:firstLine="482" w:firstLineChars="200"/>
        <w:jc w:val="both"/>
        <w:rPr>
          <w:rFonts w:hint="eastAsia" w:ascii="仿宋" w:hAnsi="仿宋" w:eastAsia="仿宋" w:cs="仿宋"/>
          <w:b w:val="0"/>
          <w:bCs/>
          <w:sz w:val="24"/>
          <w:szCs w:val="24"/>
        </w:rPr>
      </w:pPr>
      <w:r>
        <w:rPr>
          <w:rFonts w:hint="eastAsia" w:ascii="仿宋" w:hAnsi="仿宋" w:eastAsia="仿宋" w:cs="仿宋"/>
          <w:b/>
          <w:kern w:val="44"/>
          <w:sz w:val="24"/>
          <w:szCs w:val="24"/>
        </w:rPr>
        <w:t>10.提前终止风险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在本结构性存款存续期内，若遇市场剧烈波动、国家金融政策出现重大调整、不可抗力等原因影响结构性存款正常运行时，青岛银行有权根据市场状况、自身情况提前终止本结构性存款产品，投资者必须考虑产品提前终止时无法取得预期收益的风险。 </w:t>
      </w:r>
      <w:r>
        <w:rPr>
          <w:rFonts w:hint="eastAsia" w:ascii="仿宋" w:hAnsi="仿宋" w:eastAsia="仿宋" w:cs="仿宋"/>
          <w:bCs/>
          <w:sz w:val="24"/>
          <w:szCs w:val="24"/>
        </w:rPr>
        <w:t xml:space="preserve"> </w:t>
      </w:r>
    </w:p>
    <w:p w14:paraId="097039BA">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11.不可抗力及意外事件风险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投资者，并采取一切必要补救措施减小投资者损失。</w:t>
      </w:r>
    </w:p>
    <w:p w14:paraId="097039BB">
      <w:pPr>
        <w:ind w:firstLine="420"/>
        <w:jc w:val="left"/>
        <w:rPr>
          <w:rFonts w:hint="eastAsia" w:ascii="仿宋" w:hAnsi="仿宋" w:eastAsia="仿宋" w:cs="仿宋"/>
          <w:sz w:val="24"/>
          <w:szCs w:val="24"/>
        </w:rPr>
      </w:pPr>
      <w:r>
        <w:rPr>
          <w:rFonts w:hint="eastAsia" w:ascii="仿宋" w:hAnsi="仿宋" w:eastAsia="仿宋" w:cs="仿宋"/>
          <w:b/>
          <w:kern w:val="44"/>
          <w:sz w:val="24"/>
          <w:szCs w:val="24"/>
        </w:rPr>
        <w:t>12.信用风险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青岛银行发生信用风险的极端情况下，如被依法撤销或被申请破产等，将对本结构性存款产品的认购本金及收益支付产生影响。</w:t>
      </w:r>
    </w:p>
    <w:p w14:paraId="097039BC">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13.数据来源风险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在本结构性存款收益率的计算中，需要使用到数据提供商提供的挂钩标的的价格水平。如果届时产品说明书中约定的数据提供商提供的参照页面不能给出本产品说明书所需的价格水平，青岛银行将本着公平、公正、公允的原则，选择市场认可的合理的价格水平进行计算。由此可能导致产品实际收益与预期计算的收益不符的风险。</w:t>
      </w:r>
    </w:p>
    <w:p w14:paraId="097039BD">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14.观察日调整风险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可能因为投资标的监管备案延迟、交易相关系统异常、市场重大异常、投资标的交易异常等原因无法在预定日期完成相关投资或结算，从而导致观察日调整、投资者实际清算分配时间延迟、投资者实际收益与原比较基准产生偏离等情形，由此而产生的风险由投资者自行承担。青岛银行将尽合理努力控制调整及延迟范围，并将调整后的具体情况通过信息公告向投资人发布。</w:t>
      </w:r>
    </w:p>
    <w:p w14:paraId="7CFBD282">
      <w:pPr>
        <w:ind w:firstLine="482" w:firstLineChars="200"/>
        <w:jc w:val="both"/>
        <w:rPr>
          <w:rFonts w:hint="eastAsia" w:ascii="仿宋" w:hAnsi="仿宋" w:eastAsia="仿宋" w:cs="仿宋"/>
          <w:b/>
          <w:sz w:val="24"/>
          <w:szCs w:val="24"/>
        </w:rPr>
      </w:pPr>
      <w:r>
        <w:rPr>
          <w:rFonts w:hint="eastAsia" w:ascii="仿宋" w:hAnsi="仿宋" w:eastAsia="仿宋" w:cs="仿宋"/>
          <w:b/>
          <w:bCs w:val="0"/>
          <w:kern w:val="44"/>
          <w:sz w:val="24"/>
          <w:szCs w:val="24"/>
        </w:rPr>
        <w:t>15.估值风险</w:t>
      </w:r>
      <w:r>
        <w:rPr>
          <w:rFonts w:hint="eastAsia" w:ascii="仿宋" w:hAnsi="仿宋" w:eastAsia="仿宋" w:cs="仿宋"/>
          <w:b/>
          <w:bCs w:val="0"/>
          <w:kern w:val="44"/>
          <w:sz w:val="24"/>
          <w:szCs w:val="24"/>
          <w:lang w:eastAsia="zh-CN"/>
        </w:rPr>
        <w:t>：</w:t>
      </w:r>
      <w:r>
        <w:rPr>
          <w:rFonts w:hint="eastAsia" w:ascii="仿宋" w:hAnsi="仿宋" w:eastAsia="仿宋" w:cs="仿宋"/>
          <w:bCs/>
          <w:sz w:val="24"/>
          <w:szCs w:val="24"/>
        </w:rPr>
        <w:t>本产品按照《产品说明书》的估值方法进行估值，结构性存款估值与实际变现价值可能发生偏离，投资者应知晓该风险。估值结果仅作为参考，青岛银行不承担投资者以及任何第三方使用该估值引发的其他风险。</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4F4893"/>
    <w:rsid w:val="01914B6A"/>
    <w:rsid w:val="01E8799B"/>
    <w:rsid w:val="021D04C6"/>
    <w:rsid w:val="02445A7A"/>
    <w:rsid w:val="02F40C6A"/>
    <w:rsid w:val="03F60FF6"/>
    <w:rsid w:val="040E6340"/>
    <w:rsid w:val="045D2E23"/>
    <w:rsid w:val="047343F5"/>
    <w:rsid w:val="05463D08"/>
    <w:rsid w:val="05F15F19"/>
    <w:rsid w:val="06155A61"/>
    <w:rsid w:val="07CD02C0"/>
    <w:rsid w:val="08455EED"/>
    <w:rsid w:val="08CD5D31"/>
    <w:rsid w:val="08D85FE6"/>
    <w:rsid w:val="09335433"/>
    <w:rsid w:val="0AA572D2"/>
    <w:rsid w:val="0B015E43"/>
    <w:rsid w:val="0B091F29"/>
    <w:rsid w:val="0B923CFA"/>
    <w:rsid w:val="0C8C699B"/>
    <w:rsid w:val="0CA84E40"/>
    <w:rsid w:val="0D25548E"/>
    <w:rsid w:val="0DB51860"/>
    <w:rsid w:val="0E71409B"/>
    <w:rsid w:val="0F1F3AF7"/>
    <w:rsid w:val="0F977B31"/>
    <w:rsid w:val="0FA00BF8"/>
    <w:rsid w:val="110F5677"/>
    <w:rsid w:val="113B7D97"/>
    <w:rsid w:val="11F35990"/>
    <w:rsid w:val="13387834"/>
    <w:rsid w:val="14691370"/>
    <w:rsid w:val="146B18FC"/>
    <w:rsid w:val="15066809"/>
    <w:rsid w:val="16753FFC"/>
    <w:rsid w:val="17326366"/>
    <w:rsid w:val="173A0B8A"/>
    <w:rsid w:val="19F93196"/>
    <w:rsid w:val="1B2A38E1"/>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7EB6814"/>
    <w:rsid w:val="28883AE4"/>
    <w:rsid w:val="297665B1"/>
    <w:rsid w:val="299576A7"/>
    <w:rsid w:val="2A4D4C31"/>
    <w:rsid w:val="2B1D49DD"/>
    <w:rsid w:val="2B253DEB"/>
    <w:rsid w:val="2C2B5431"/>
    <w:rsid w:val="2C491D5B"/>
    <w:rsid w:val="2CD933E3"/>
    <w:rsid w:val="2D871B7E"/>
    <w:rsid w:val="2E25064B"/>
    <w:rsid w:val="2E444588"/>
    <w:rsid w:val="2E7C01C6"/>
    <w:rsid w:val="2ED708AF"/>
    <w:rsid w:val="307B44AD"/>
    <w:rsid w:val="30A56E8B"/>
    <w:rsid w:val="30F027A5"/>
    <w:rsid w:val="31711604"/>
    <w:rsid w:val="31761E32"/>
    <w:rsid w:val="317D6F03"/>
    <w:rsid w:val="318B24CE"/>
    <w:rsid w:val="318D4498"/>
    <w:rsid w:val="31FA40BC"/>
    <w:rsid w:val="31FE0EF2"/>
    <w:rsid w:val="32096846"/>
    <w:rsid w:val="32B2044E"/>
    <w:rsid w:val="32C713D9"/>
    <w:rsid w:val="339415CD"/>
    <w:rsid w:val="33B57FD6"/>
    <w:rsid w:val="344C4197"/>
    <w:rsid w:val="346239BA"/>
    <w:rsid w:val="351729F7"/>
    <w:rsid w:val="351A4352"/>
    <w:rsid w:val="36DD1A1E"/>
    <w:rsid w:val="36F01751"/>
    <w:rsid w:val="37D44AC0"/>
    <w:rsid w:val="381B0DE0"/>
    <w:rsid w:val="38743CBC"/>
    <w:rsid w:val="389B393F"/>
    <w:rsid w:val="39772A5E"/>
    <w:rsid w:val="3A3145A6"/>
    <w:rsid w:val="3AA348DA"/>
    <w:rsid w:val="3AE80991"/>
    <w:rsid w:val="3D4F2F4A"/>
    <w:rsid w:val="3D583BAC"/>
    <w:rsid w:val="3D7678AA"/>
    <w:rsid w:val="3DCE0312"/>
    <w:rsid w:val="3DEE5371"/>
    <w:rsid w:val="3E0B2161"/>
    <w:rsid w:val="3EB3700C"/>
    <w:rsid w:val="3F695DAF"/>
    <w:rsid w:val="3F970419"/>
    <w:rsid w:val="3FD94A5E"/>
    <w:rsid w:val="3FF346A5"/>
    <w:rsid w:val="40426A0D"/>
    <w:rsid w:val="409B00F4"/>
    <w:rsid w:val="416F7716"/>
    <w:rsid w:val="419467C5"/>
    <w:rsid w:val="42154762"/>
    <w:rsid w:val="42316423"/>
    <w:rsid w:val="427F607F"/>
    <w:rsid w:val="42DD6FD1"/>
    <w:rsid w:val="435C1F1C"/>
    <w:rsid w:val="444B4486"/>
    <w:rsid w:val="448D7806"/>
    <w:rsid w:val="44EF6903"/>
    <w:rsid w:val="455463E3"/>
    <w:rsid w:val="45880BDF"/>
    <w:rsid w:val="45EC57D9"/>
    <w:rsid w:val="481E1E96"/>
    <w:rsid w:val="482A77B7"/>
    <w:rsid w:val="491B3642"/>
    <w:rsid w:val="499835B4"/>
    <w:rsid w:val="4A606FC4"/>
    <w:rsid w:val="4ABB577A"/>
    <w:rsid w:val="4B2F7969"/>
    <w:rsid w:val="4B676D04"/>
    <w:rsid w:val="4B7B52FE"/>
    <w:rsid w:val="4BE31FF4"/>
    <w:rsid w:val="4D236472"/>
    <w:rsid w:val="4D7A7B6F"/>
    <w:rsid w:val="4E406DDB"/>
    <w:rsid w:val="4FFD36F1"/>
    <w:rsid w:val="500F0A42"/>
    <w:rsid w:val="50572C20"/>
    <w:rsid w:val="507727D0"/>
    <w:rsid w:val="51893CB4"/>
    <w:rsid w:val="52000723"/>
    <w:rsid w:val="52031DD4"/>
    <w:rsid w:val="52D70628"/>
    <w:rsid w:val="532F31A9"/>
    <w:rsid w:val="534F7436"/>
    <w:rsid w:val="53807561"/>
    <w:rsid w:val="539179C0"/>
    <w:rsid w:val="53E21EB8"/>
    <w:rsid w:val="53EF7D06"/>
    <w:rsid w:val="5448476A"/>
    <w:rsid w:val="54907C78"/>
    <w:rsid w:val="5604091D"/>
    <w:rsid w:val="561C593D"/>
    <w:rsid w:val="568455BA"/>
    <w:rsid w:val="56D74523"/>
    <w:rsid w:val="589917F1"/>
    <w:rsid w:val="58F3158F"/>
    <w:rsid w:val="5A5654C0"/>
    <w:rsid w:val="5A6E0A5B"/>
    <w:rsid w:val="5AC01810"/>
    <w:rsid w:val="5AC539C3"/>
    <w:rsid w:val="5ACD2EC3"/>
    <w:rsid w:val="5BFD72FD"/>
    <w:rsid w:val="5C1178F0"/>
    <w:rsid w:val="5CD9561D"/>
    <w:rsid w:val="5D9F2CDA"/>
    <w:rsid w:val="5E6B5D01"/>
    <w:rsid w:val="5F5E7760"/>
    <w:rsid w:val="6050744A"/>
    <w:rsid w:val="6085265B"/>
    <w:rsid w:val="60EF4B00"/>
    <w:rsid w:val="61C4673C"/>
    <w:rsid w:val="620D321D"/>
    <w:rsid w:val="62274007"/>
    <w:rsid w:val="64030466"/>
    <w:rsid w:val="64572560"/>
    <w:rsid w:val="65366619"/>
    <w:rsid w:val="65553017"/>
    <w:rsid w:val="65A60E13"/>
    <w:rsid w:val="65EA2FEA"/>
    <w:rsid w:val="66A26ACF"/>
    <w:rsid w:val="66AA6977"/>
    <w:rsid w:val="66D103A8"/>
    <w:rsid w:val="691C1682"/>
    <w:rsid w:val="69456E2B"/>
    <w:rsid w:val="698466D7"/>
    <w:rsid w:val="6A3F2666"/>
    <w:rsid w:val="6ADC37BF"/>
    <w:rsid w:val="6AFE1987"/>
    <w:rsid w:val="6B3D24B0"/>
    <w:rsid w:val="6B981494"/>
    <w:rsid w:val="6D920165"/>
    <w:rsid w:val="6DC747D0"/>
    <w:rsid w:val="6E49116B"/>
    <w:rsid w:val="6F5B73A8"/>
    <w:rsid w:val="6F810922"/>
    <w:rsid w:val="6FBB7E47"/>
    <w:rsid w:val="70C0289D"/>
    <w:rsid w:val="70E25C2B"/>
    <w:rsid w:val="71653865"/>
    <w:rsid w:val="718B3849"/>
    <w:rsid w:val="730E769D"/>
    <w:rsid w:val="731C29AB"/>
    <w:rsid w:val="735D7736"/>
    <w:rsid w:val="73836ECE"/>
    <w:rsid w:val="73CB0663"/>
    <w:rsid w:val="73CD64B8"/>
    <w:rsid w:val="73F007E3"/>
    <w:rsid w:val="74462E66"/>
    <w:rsid w:val="74E24CB8"/>
    <w:rsid w:val="75834F63"/>
    <w:rsid w:val="75EA0B27"/>
    <w:rsid w:val="7795589D"/>
    <w:rsid w:val="789023CF"/>
    <w:rsid w:val="7973709D"/>
    <w:rsid w:val="7A071D4B"/>
    <w:rsid w:val="7A0A5C53"/>
    <w:rsid w:val="7A150154"/>
    <w:rsid w:val="7B0651C6"/>
    <w:rsid w:val="7B130B37"/>
    <w:rsid w:val="7B4B6523"/>
    <w:rsid w:val="7BD36D61"/>
    <w:rsid w:val="7C06244A"/>
    <w:rsid w:val="7CFA1176"/>
    <w:rsid w:val="7D876B75"/>
    <w:rsid w:val="7D9D6DDE"/>
    <w:rsid w:val="7E8D0C00"/>
    <w:rsid w:val="7EB41ADE"/>
    <w:rsid w:val="7EFE3EB7"/>
    <w:rsid w:val="7F6F041D"/>
    <w:rsid w:val="7FCE327F"/>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3124</Words>
  <Characters>5119</Characters>
  <Lines>34</Lines>
  <Paragraphs>9</Paragraphs>
  <TotalTime>1</TotalTime>
  <ScaleCrop>false</ScaleCrop>
  <LinksUpToDate>false</LinksUpToDate>
  <CharactersWithSpaces>5262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zz</cp:lastModifiedBy>
  <cp:lastPrinted>2021-12-13T09:47:00Z</cp:lastPrinted>
  <dcterms:modified xsi:type="dcterms:W3CDTF">2025-10-13T07:08:57Z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eyJoZGlkIjoiMTJlODQ5NjliMTBhODYwMjlhNGRiZjQzMTAwNTkyYWIiLCJ1c2VySWQiOiI3MTA1NzAyMDMifQ==</vt:lpwstr>
  </property>
</Properties>
</file>